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Capstone ICA (20 marks): CDIO Robotics Engineering &amp; MuJoCo Physics 10 · CSBS Techno-Economic Business Systems Analysis 5 · Studio Showcase &amp; Viva Voce 5</w:t>
        <w:br/>
        <w:t>Group 06 · E048 / E052 / E058</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Pr>
                <w:sz w:val="14"/>
              </w:rPr>
              <w:t>Modified by us</w:t>
            </w:r>
          </w:p>
        </w:tc>
        <w:tc>
          <w:tcPr>
            <w:tcW w:type="dxa" w:w="1587"/>
          </w:tcPr>
          <w:p>
            <w:pPr>
              <w:keepNext/>
              <w:spacing w:after="0"/>
            </w:pPr>
            <w:r>
              <w:rPr>
                <w:sz w:val="14"/>
              </w:rPr>
              <w:t>Shared (E048 / E052)</w:t>
            </w:r>
          </w:p>
        </w:tc>
        <w:tc>
          <w:tcPr>
            <w:tcW w:type="dxa" w:w="3685"/>
          </w:tcPr>
          <w:p>
            <w:pPr>
              <w:keepNext/>
              <w:spacing w:after="0"/>
            </w:pPr>
            <w:r>
              <w:rPr>
                <w:sz w:val="14"/>
              </w:rPr>
              <w:t>Robot model with dock, fixed brush, guide and tray. Arush led physics and logic; Ronit contributed robot/XML file work. Development was AI-assisted.</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Camera-triggered departure, PI tracking, bounded turns/return and 500 Hz logging. Arush led AI-assisted code implementation; team members supported development.</w:t>
            </w:r>
          </w:p>
        </w:tc>
      </w:tr>
      <w:tr>
        <w:trPr>
          <w:cantSplit/>
        </w:trPr>
        <w:tc>
          <w:tcPr>
            <w:tcW w:type="dxa" w:w="3061"/>
          </w:tcPr>
          <w:p>
            <w:r>
              <w:t>analytics/final_business_model.py</w:t>
            </w:r>
          </w:p>
        </w:tc>
        <w:tc>
          <w:tcPr>
            <w:tcW w:type="dxa" w:w="1871"/>
          </w:tcPr>
          <w:p>
            <w:pPr>
              <w:keepNext/>
              <w:spacing w:after="0"/>
            </w:pPr>
            <w:r>
              <w:rPr>
                <w:sz w:val="14"/>
              </w:rPr>
              <w:t>Modified by us</w:t>
            </w:r>
          </w:p>
        </w:tc>
        <w:tc>
          <w:tcPr>
            <w:tcW w:type="dxa" w:w="1587"/>
          </w:tcPr>
          <w:p>
            <w:pPr>
              <w:keepNext/>
              <w:spacing w:after="0"/>
            </w:pPr>
            <w:r>
              <w:rPr>
                <w:sz w:val="14"/>
              </w:rPr>
              <w:t>E058</w:t>
            </w:r>
          </w:p>
        </w:tc>
        <w:tc>
          <w:tcPr>
            <w:tcW w:type="dxa" w:w="3685"/>
          </w:tcPr>
          <w:p>
            <w:pPr>
              <w:keepNext/>
              <w:spacing w:after="0"/>
            </w:pPr>
            <w:r>
              <w:rPr>
                <w:sz w:val="14"/>
              </w:rPr>
              <w:t>Harshvardhan led final_business_model.py and the business/economic analysis, including operating costs, transfer labour, payback and sensitivity. Ronit supported business modelling. AI-assisted development.</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Rendered RGB observations, persistence, targeted revisits and independent residual scoring. Arush led AI-assisted implementation; navigation uses simulator pose.</w:t>
            </w:r>
          </w:p>
        </w:tc>
      </w:tr>
      <w:tr>
        <w:trPr>
          <w:cantSplit/>
        </w:trPr>
        <w:tc>
          <w:tcPr>
            <w:tcW w:type="dxa" w:w="3061"/>
          </w:tcPr>
          <w:p>
            <w:pPr>
              <w:spacing w:after="0"/>
            </w:pPr>
            <w:r/>
            <w:r>
              <w:rPr>
                <w:sz w:val="14"/>
              </w:rPr>
              <w:t xml:space="preserve">src/run_final_validation.py</w:t>
            </w:r>
          </w:p>
        </w:tc>
        <w:tc>
          <w:tcPr>
            <w:tcW w:type="dxa" w:w="1871"/>
          </w:tcPr>
          <w:p>
            <w:pPr>
              <w:spacing w:after="0"/>
            </w:pPr>
            <w:r>
              <w:rPr>
                <w:sz w:val="14"/>
              </w:rPr>
              <w:t>Modified by us</w:t>
            </w:r>
          </w:p>
        </w:tc>
        <w:tc>
          <w:tcPr>
            <w:tcW w:type="dxa" w:w="1587"/>
          </w:tcPr>
          <w:p>
            <w:pPr>
              <w:spacing w:after="0"/>
            </w:pPr>
            <w:r>
              <w:rPr>
                <w:sz w:val="14"/>
              </w:rPr>
              <w:t>E048</w:t>
            </w:r>
          </w:p>
        </w:tc>
        <w:tc>
          <w:tcPr>
            <w:tcW w:type="dxa" w:w="3685"/>
          </w:tcPr>
          <w:p>
            <w:pPr>
              <w:spacing w:after="0"/>
            </w:pPr>
            <w:r>
              <w:rPr>
                <w:sz w:val="14"/>
              </w:rPr>
              <w:t>Frozen 180 attempts over three inclinations with independent seeds, raw torque logs and source snapshots. Arush led AI-assisted implementation; team members supported the project.</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Pr>
                <w:sz w:val="14"/>
              </w:rPr>
            </w:r>
            <w:hyperlink r:id="rId19">
              <w:r>
                <w:rPr>
                  <w:color w:val="0563C1"/>
                  <w:u w:val="single"/>
                  <w:sz w:val="14"/>
                </w:rPr>
                <w:t>https://lnkd.in/p/d_en8Zas</w:t>
              </w:r>
            </w:hyperlink>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Pr>
                <w:sz w:val="14"/>
              </w:rPr>
              <w:t>Simulation segment: 03:21.52, including visible cameras and business graph. The completed team presentation is linked above.</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Pr>
                <w:sz w:val="14"/>
              </w:rPr>
              <w:t>Yes</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1474"/>
          </w:tcPr>
          <w:p>
            <w:pPr>
              <w:keepNext/>
              <w:spacing w:after="0"/>
            </w:pPr>
            <w:r>
              <w:rPr>
                <w:sz w:val="14"/>
              </w:rPr>
              <w:t>Overall demonstration</w:t>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1474"/>
          </w:tcPr>
          <w:p>
            <w:pPr>
              <w:spacing w:after="0"/>
            </w:pPr>
            <w:r>
              <w:rPr>
                <w:sz w:val="14"/>
              </w:rPr>
              <w:t>Overall demonstration</w:t>
            </w:r>
          </w:p>
        </w:tc>
        <w:tc>
          <w:tcPr>
            <w:tcW w:type="dxa" w:w="2891"/>
          </w:tcPr>
          <w:p>
            <w:pPr>
              <w:spacing w:after="0"/>
            </w:pPr>
            <w:r/>
            <w:r>
              <w:rPr>
                <w:sz w:val="14"/>
              </w:rPr>
              <w:t xml:space="preserve">How is an apparent pipeline defect distinguished from a shadow, and how is detection confidence validated?</w:t>
            </w:r>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sz w:val="14"/>
        </w:rPr>
        <w:t>These answers do not change your marks. They help improve the course and are used in anonymised research only if you consent in the sign-off below. Work share is the team’s estimated allocation (45/27.5/27.5), separate from Git commit share. Git share is the author-count percentage in the documented 55-commit repository snapshot; it includes AI-assisted commits and does not measure all project work.</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Pr>
                <w:sz w:val="14"/>
              </w:rPr>
              <w:t>Work estimate (%) /</w:t>
              <w:br/>
              <w:t>Git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Pr>
                <w:sz w:val="14"/>
              </w:rPr>
              <w:t>20 h</w:t>
            </w:r>
          </w:p>
        </w:tc>
        <w:tc>
          <w:tcPr>
            <w:tcW w:type="dxa" w:w="1247"/>
          </w:tcPr>
          <w:p>
            <w:pPr>
              <w:keepNext/>
              <w:spacing w:after="0"/>
            </w:pPr>
            <w:r>
              <w:rPr>
                <w:sz w:val="14"/>
              </w:rPr>
              <w:t>5</w:t>
            </w:r>
          </w:p>
        </w:tc>
        <w:tc>
          <w:tcPr>
            <w:tcW w:type="dxa" w:w="1304"/>
          </w:tcPr>
          <w:p>
            <w:pPr>
              <w:keepNext/>
              <w:spacing w:after="0"/>
            </w:pPr>
            <w:r>
              <w:rPr>
                <w:sz w:val="14"/>
              </w:rPr>
              <w:t>Yes</w:t>
            </w:r>
          </w:p>
        </w:tc>
        <w:tc>
          <w:tcPr>
            <w:tcW w:type="dxa" w:w="1474"/>
          </w:tcPr>
          <w:p>
            <w:pPr>
              <w:keepNext/>
              <w:spacing w:after="0"/>
            </w:pPr>
            <w:r>
              <w:rPr>
                <w:sz w:val="14"/>
              </w:rPr>
              <w:t>Physics, control and simulation logic: crawler_cleaning_controller.py, vision_mission.py, panel_vision.py and run_final_validation.py; shared model XML. AI-assisted.</w:t>
            </w:r>
          </w:p>
        </w:tc>
        <w:tc>
          <w:tcPr>
            <w:tcW w:type="dxa" w:w="1020"/>
          </w:tcPr>
          <w:p>
            <w:pPr>
              <w:keepNext/>
              <w:spacing w:after="0"/>
            </w:pPr>
            <w:r>
              <w:rPr>
                <w:sz w:val="14"/>
              </w:rPr>
              <w:t>Work: 45%</w:t>
              <w:br/>
              <w:t>Git: 94.5%</w:t>
            </w:r>
          </w:p>
        </w:tc>
        <w:tc>
          <w:tcPr>
            <w:tcW w:type="dxa" w:w="1304"/>
          </w:tcPr>
          <w:p>
            <w:pPr>
              <w:keepNext/>
              <w:spacing w:after="0"/>
            </w:pPr>
            <w:r>
              <w:rPr>
                <w:sz w:val="14"/>
              </w:rPr>
              <w:t>26–50 %</w:t>
            </w:r>
          </w:p>
        </w:tc>
        <w:tc>
          <w:tcPr>
            <w:tcW w:type="dxa" w:w="1304"/>
          </w:tcPr>
          <w:p>
            <w:pPr>
              <w:keepNext/>
              <w:spacing w:after="0"/>
            </w:pPr>
            <w:r>
              <w:rPr>
                <w:sz w:val="14"/>
              </w:rPr>
              <w:t>6 or more</w:t>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Pr>
                <w:sz w:val="14"/>
              </w:rPr>
              <w:t>20 h</w:t>
            </w:r>
          </w:p>
        </w:tc>
        <w:tc>
          <w:tcPr>
            <w:tcW w:type="dxa" w:w="1247"/>
          </w:tcPr>
          <w:p>
            <w:pPr>
              <w:keepNext/>
              <w:spacing w:after="0"/>
            </w:pPr>
            <w:r>
              <w:rPr>
                <w:sz w:val="14"/>
              </w:rPr>
              <w:t>5</w:t>
            </w:r>
          </w:p>
        </w:tc>
        <w:tc>
          <w:tcPr>
            <w:tcW w:type="dxa" w:w="1304"/>
          </w:tcPr>
          <w:p>
            <w:pPr>
              <w:keepNext/>
              <w:spacing w:after="0"/>
            </w:pPr>
            <w:r>
              <w:rPr>
                <w:sz w:val="14"/>
              </w:rPr>
              <w:t>Yes</w:t>
            </w:r>
          </w:p>
        </w:tc>
        <w:tc>
          <w:tcPr>
            <w:tcW w:type="dxa" w:w="1474"/>
          </w:tcPr>
          <w:p>
            <w:pPr>
              <w:keepNext/>
              <w:spacing w:after="0"/>
            </w:pPr>
            <w:r>
              <w:rPr>
                <w:sz w:val="14"/>
              </w:rPr>
              <w:t>Robot-model and XML file work, including collection_cleaning_crawler.xml; supported business modelling. AI-assisted.</w:t>
            </w:r>
          </w:p>
        </w:tc>
        <w:tc>
          <w:tcPr>
            <w:tcW w:type="dxa" w:w="1020"/>
          </w:tcPr>
          <w:p>
            <w:pPr>
              <w:keepNext/>
              <w:spacing w:after="0"/>
            </w:pPr>
            <w:r>
              <w:rPr>
                <w:sz w:val="14"/>
              </w:rPr>
              <w:t>Work: 27.5%</w:t>
              <w:br/>
              <w:t>Git: 5.5%</w:t>
            </w:r>
          </w:p>
        </w:tc>
        <w:tc>
          <w:tcPr>
            <w:tcW w:type="dxa" w:w="1304"/>
          </w:tcPr>
          <w:p>
            <w:pPr>
              <w:keepNext/>
              <w:spacing w:after="0"/>
            </w:pPr>
            <w:r>
              <w:rPr>
                <w:sz w:val="14"/>
              </w:rPr>
              <w:t>26–50 %</w:t>
            </w:r>
          </w:p>
        </w:tc>
        <w:tc>
          <w:tcPr>
            <w:tcW w:type="dxa" w:w="1304"/>
          </w:tcPr>
          <w:p>
            <w:pPr>
              <w:keepNext/>
              <w:spacing w:after="0"/>
            </w:pPr>
            <w:r>
              <w:rPr>
                <w:sz w:val="14"/>
              </w:rPr>
              <w:t>3–5</w:t>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Pr>
                <w:sz w:val="14"/>
              </w:rPr>
              <w:t>20 h</w:t>
            </w:r>
          </w:p>
        </w:tc>
        <w:tc>
          <w:tcPr>
            <w:tcW w:type="dxa" w:w="1247"/>
          </w:tcPr>
          <w:p>
            <w:pPr>
              <w:spacing w:after="0"/>
            </w:pPr>
            <w:r>
              <w:rPr>
                <w:sz w:val="14"/>
              </w:rPr>
              <w:t>5</w:t>
            </w:r>
          </w:p>
        </w:tc>
        <w:tc>
          <w:tcPr>
            <w:tcW w:type="dxa" w:w="1304"/>
          </w:tcPr>
          <w:p>
            <w:pPr>
              <w:spacing w:after="0"/>
            </w:pPr>
            <w:r>
              <w:rPr>
                <w:sz w:val="14"/>
              </w:rPr>
              <w:t>Yes</w:t>
            </w:r>
          </w:p>
        </w:tc>
        <w:tc>
          <w:tcPr>
            <w:tcW w:type="dxa" w:w="1474"/>
          </w:tcPr>
          <w:p>
            <w:pPr>
              <w:spacing w:after="0"/>
            </w:pPr>
            <w:r>
              <w:rPr>
                <w:sz w:val="14"/>
              </w:rPr>
              <w:t>Lead: analytics/final_business_model.py; business modelling and economic analysis. AI-assisted.</w:t>
            </w:r>
          </w:p>
        </w:tc>
        <w:tc>
          <w:tcPr>
            <w:tcW w:type="dxa" w:w="1020"/>
          </w:tcPr>
          <w:p>
            <w:pPr>
              <w:spacing w:after="0"/>
            </w:pPr>
            <w:r>
              <w:rPr>
                <w:sz w:val="14"/>
              </w:rPr>
              <w:t>Work: 27.5%</w:t>
              <w:br/>
              <w:t>Git: 0.0%</w:t>
            </w:r>
          </w:p>
        </w:tc>
        <w:tc>
          <w:tcPr>
            <w:tcW w:type="dxa" w:w="1304"/>
          </w:tcPr>
          <w:p>
            <w:pPr>
              <w:spacing w:after="0"/>
            </w:pPr>
            <w:r>
              <w:rPr>
                <w:sz w:val="14"/>
              </w:rPr>
              <w:t>26–50 %</w:t>
            </w:r>
          </w:p>
        </w:tc>
        <w:tc>
          <w:tcPr>
            <w:tcW w:type="dxa" w:w="1304"/>
          </w:tcPr>
          <w:p>
            <w:pPr>
              <w:spacing w:after="0"/>
            </w:pPr>
            <w:r>
              <w:rPr>
                <w:sz w:val="14"/>
              </w:rPr>
              <w:t>3–5</w:t>
            </w:r>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Pr>
                <w:sz w:val="14"/>
              </w:rPr>
              <w:t>Yes</w:t>
            </w:r>
          </w:p>
        </w:tc>
        <w:tc>
          <w:tcPr>
            <w:tcW w:type="dxa" w:w="3515"/>
          </w:tcPr>
          <w:p>
            <w:pPr>
              <w:spacing w:after="0"/>
            </w:pPr>
            <w:r>
              <w:rPr>
                <w:sz w:val="14"/>
              </w:rPr>
              <w:t>Learning MuJoCo end-to-end: modelling robots, writing MuJoCo/Python simulation scripts and building a functioning digital prototype for business demonstrations.</w:t>
            </w:r>
          </w:p>
        </w:tc>
        <w:tc>
          <w:tcPr>
            <w:tcW w:type="dxa" w:w="3515"/>
          </w:tcPr>
          <w:p>
            <w:pPr>
              <w:spacing w:after="0"/>
            </w:pPr>
            <w:r>
              <w:rPr>
                <w:sz w:val="14"/>
              </w:rPr>
              <w:t>No changes suggested; the teaching and guidance were effective.</w:t>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vAlign w:val="center"/>
          </w:tcPr>
          <w:p>
            <w:pPr>
              <w:spacing w:before="60" w:after="60"/>
              <w:jc w:val="center"/>
            </w:pPr>
            <w:r>
              <w:rPr>
                <w:sz w:val="14"/>
              </w:rPr>
            </w:r>
            <w:r>
              <w:drawing>
                <wp:inline xmlns:a="http://schemas.openxmlformats.org/drawingml/2006/main" xmlns:pic="http://schemas.openxmlformats.org/drawingml/2006/picture">
                  <wp:extent cx="1225296" cy="405879"/>
                  <wp:docPr id="7" name="Picture 7"/>
                  <wp:cNvGraphicFramePr>
                    <a:graphicFrameLocks noChangeAspect="1"/>
                  </wp:cNvGraphicFramePr>
                  <a:graphic>
                    <a:graphicData uri="http://schemas.openxmlformats.org/drawingml/2006/picture">
                      <pic:pic>
                        <pic:nvPicPr>
                          <pic:cNvPr id="0" name="3-Photo-3.jpg"/>
                          <pic:cNvPicPr/>
                        </pic:nvPicPr>
                        <pic:blipFill>
                          <a:blip r:embed="rId16"/>
                          <a:stretch>
                            <a:fillRect/>
                          </a:stretch>
                        </pic:blipFill>
                        <pic:spPr>
                          <a:xfrm>
                            <a:off x="0" y="0"/>
                            <a:ext cx="1225296" cy="405879"/>
                          </a:xfrm>
                          <a:prstGeom prst="rect"/>
                        </pic:spPr>
                      </pic:pic>
                    </a:graphicData>
                  </a:graphic>
                </wp:inline>
              </w:drawing>
            </w:r>
          </w:p>
        </w:tc>
        <w:tc>
          <w:tcPr>
            <w:tcW w:type="dxa" w:w="1984"/>
          </w:tcPr>
          <w:p>
            <w:pPr>
              <w:keepNext/>
              <w:spacing w:after="0"/>
            </w:pPr>
            <w:r>
              <w:rPr>
                <w:sz w:val="14"/>
              </w:rPr>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vAlign w:val="center"/>
          </w:tcPr>
          <w:p>
            <w:pPr>
              <w:spacing w:before="60" w:after="60"/>
              <w:jc w:val="center"/>
            </w:pPr>
            <w:r>
              <w:rPr>
                <w:sz w:val="14"/>
              </w:rPr>
            </w:r>
            <w:r>
              <w:drawing>
                <wp:inline xmlns:a="http://schemas.openxmlformats.org/drawingml/2006/main" xmlns:pic="http://schemas.openxmlformats.org/drawingml/2006/picture">
                  <wp:extent cx="949796" cy="640080"/>
                  <wp:docPr id="8" name="Picture 8"/>
                  <wp:cNvGraphicFramePr>
                    <a:graphicFrameLocks noChangeAspect="1"/>
                  </wp:cNvGraphicFramePr>
                  <a:graphic>
                    <a:graphicData uri="http://schemas.openxmlformats.org/drawingml/2006/picture">
                      <pic:pic>
                        <pic:nvPicPr>
                          <pic:cNvPr id="0" name="1-Photo-1.jpg"/>
                          <pic:cNvPicPr/>
                        </pic:nvPicPr>
                        <pic:blipFill>
                          <a:blip r:embed="rId17"/>
                          <a:stretch>
                            <a:fillRect/>
                          </a:stretch>
                        </pic:blipFill>
                        <pic:spPr>
                          <a:xfrm>
                            <a:off x="0" y="0"/>
                            <a:ext cx="949796" cy="640080"/>
                          </a:xfrm>
                          <a:prstGeom prst="rect"/>
                        </pic:spPr>
                      </pic:pic>
                    </a:graphicData>
                  </a:graphic>
                </wp:inline>
              </w:drawing>
            </w:r>
          </w:p>
        </w:tc>
        <w:tc>
          <w:tcPr>
            <w:tcW w:type="dxa" w:w="1984"/>
          </w:tcPr>
          <w:p>
            <w:pPr>
              <w:keepNext/>
              <w:spacing w:after="0"/>
            </w:pPr>
            <w:r>
              <w:rPr>
                <w:sz w:val="14"/>
              </w:rPr>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Pr>
                <w:sz w:val="14"/>
              </w:rPr>
              <w:t>Yes</w:t>
            </w:r>
          </w:p>
        </w:tc>
        <w:tc>
          <w:tcPr>
            <w:tcW w:type="dxa" w:w="1247"/>
          </w:tcPr>
          <w:p>
            <w:pPr>
              <w:spacing w:after="0"/>
            </w:pPr>
            <w:r>
              <w:rPr>
                <w:sz w:val="14"/>
              </w:rPr>
              <w:t>Yes</w:t>
            </w:r>
          </w:p>
        </w:tc>
        <w:tc>
          <w:tcPr>
            <w:tcW w:type="dxa" w:w="1247"/>
          </w:tcPr>
          <w:p>
            <w:pPr>
              <w:spacing w:after="0"/>
            </w:pPr>
            <w:r>
              <w:rPr>
                <w:sz w:val="14"/>
              </w:rPr>
              <w:t>Yes</w:t>
            </w:r>
          </w:p>
        </w:tc>
        <w:tc>
          <w:tcPr>
            <w:tcW w:type="dxa" w:w="2211"/>
            <w:vAlign w:val="center"/>
          </w:tcPr>
          <w:p>
            <w:pPr>
              <w:spacing w:before="60" w:after="60"/>
              <w:jc w:val="center"/>
            </w:pPr>
            <w:r>
              <w:rPr>
                <w:sz w:val="14"/>
              </w:rPr>
            </w:r>
            <w:r>
              <w:drawing>
                <wp:inline xmlns:a="http://schemas.openxmlformats.org/drawingml/2006/main" xmlns:pic="http://schemas.openxmlformats.org/drawingml/2006/picture">
                  <wp:extent cx="1017518" cy="640080"/>
                  <wp:docPr id="9" name="Picture 9"/>
                  <wp:cNvGraphicFramePr>
                    <a:graphicFrameLocks noChangeAspect="1"/>
                  </wp:cNvGraphicFramePr>
                  <a:graphic>
                    <a:graphicData uri="http://schemas.openxmlformats.org/drawingml/2006/picture">
                      <pic:pic>
                        <pic:nvPicPr>
                          <pic:cNvPr id="0" name="2-Photo-2.jpg"/>
                          <pic:cNvPicPr/>
                        </pic:nvPicPr>
                        <pic:blipFill>
                          <a:blip r:embed="rId18"/>
                          <a:stretch>
                            <a:fillRect/>
                          </a:stretch>
                        </pic:blipFill>
                        <pic:spPr>
                          <a:xfrm>
                            <a:off x="0" y="0"/>
                            <a:ext cx="1017518" cy="640080"/>
                          </a:xfrm>
                          <a:prstGeom prst="rect"/>
                        </pic:spPr>
                      </pic:pic>
                    </a:graphicData>
                  </a:graphic>
                </wp:inline>
              </w:drawing>
            </w:r>
          </w:p>
        </w:tc>
        <w:tc>
          <w:tcPr>
            <w:tcW w:type="dxa" w:w="1984"/>
          </w:tcPr>
          <w:p>
            <w:pPr>
              <w:spacing w:after="0"/>
            </w:pPr>
            <w:r>
              <w:rPr>
                <w:sz w:val="14"/>
              </w:rPr>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Technical sections are populated from the completed frozen validation and reproducible business scenario. This copy uses ordinary editable text. Individual responses, academic declarations and peer-review scores reflect the team’s supplied answers.</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From the group directory, use the pinned Python environment in requirements.txt. Headless execution requires MUJOCO_GL=egl before importing MuJoCo. Commands: submission/REPRODUCE.md. Raw final CSVs use XZ. This copy uses ordinary editable text; the faculty form preserves the original controls and choices. Current revision details are in UPDATE_BASIS.json; commit-share scope and counts are in COMMIT_SHARE_RECEIPT.json.</w:t>
      </w:r>
    </w:p>
    <w:p>
      <w:r>
        <w:rPr>
          <w:sz w:val="14"/>
        </w:rPr>
        <w:t>The final public team-video URL is included in Section 5. Supplied signature images are placed in the academic sign-off table. Optional research consent is left blank at the team’s request. Faculty repository submission and individual Teams turn-in are separate actions.</w:t>
      </w:r>
    </w:p>
    <w:p>
      <w:r>
        <w:rPr>
          <w:sz w:val="14"/>
        </w:rPr>
        <w:t>Team contributions</w:t>
      </w:r>
    </w:p>
    <w:p>
      <w:r>
        <w:rPr>
          <w:sz w:val="14"/>
        </w:rPr>
        <w:t>Arush (E048) led the robot physics, control logic, coding and MuJoCo simulation. Ronit (E052) contributed robot-model/XML file work and supported business modelling. Harshvardhan (E058) led the business-model script, business modelling and economics. The team estimates its work allocation as Arush 45%, Ronit 27.5% and Harshvardhan 27.5%. The members worked together on weekends over approximately two months. Software development was AI-assisted.</w:t>
      </w:r>
    </w:p>
    <w:p>
      <w:r>
        <w:rPr>
          <w:sz w:val="14"/>
        </w:rPr>
        <w:t>Published team presentation: https://lnkd.in/p/d_en8Zas. The source simulation segment is submission/complete_camera_video_v1/Group06_Complete_Simulation_With_Cameras.mp4 (3:21.52).</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hyperlink" Target="https://lnkd.in/p/d_en8Z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