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EDITABLE REVIEW COPY —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Off-glass dock, fixed capsule brush, guide and tray; 8.5 kg and five actuators. Arush led AI-assisted file implementation; Ronit supported 3D modelling.</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Camera-triggered departure, PI tracking, bounded turns/return and 500 Hz logging. Arush led AI-assisted code implementation; team members supported development.</w:t>
            </w:r>
          </w:p>
        </w:tc>
      </w:tr>
      <w:tr>
        <w:trPr>
          <w:cantSplit/>
        </w:trPr>
        <w:tc>
          <w:tcPr>
            <w:tcW w:type="dxa" w:w="3061"/>
          </w:tcPr>
          <w:p>
            <w:r>
              <w:t>analytics/final_business_model.py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Measured-throughput business scenario, transfer labour and sensitivity. Arush led AI-assisted file implementation; Harshvardhan led business/economic inputs with Ronit supporting business modelling.</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t>Modified by us</w:t>
            </w:r>
          </w:p>
        </w:tc>
        <w:tc>
          <w:tcPr>
            <w:tcW w:type="dxa" w:w="1587"/>
          </w:tcPr>
          <w:p>
            <w:pPr>
              <w:keepNext/>
              <w:spacing w:after="0"/>
            </w:pPr>
            <w:r>
              <w:rPr>
                <w:sz w:val="14"/>
              </w:rPr>
              <w:t>E048</w:t>
            </w:r>
          </w:p>
        </w:tc>
        <w:tc>
          <w:tcPr>
            <w:tcW w:type="dxa" w:w="3685"/>
          </w:tcPr>
          <w:p>
            <w:pPr>
              <w:keepNext/>
              <w:spacing w:after="0"/>
            </w:pPr>
            <w:r>
              <w:rPr>
                <w:sz w:val="14"/>
              </w:rPr>
              <w:t>Rendered RGB observations, persistence, targeted revisits and independent residual scoring. Arush led AI-assisted implementation; navigation uses simulator pose.</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t>Modified by us</w:t>
            </w:r>
          </w:p>
        </w:tc>
        <w:tc>
          <w:tcPr>
            <w:tcW w:type="dxa" w:w="1587"/>
          </w:tcPr>
          <w:p>
            <w:pPr>
              <w:spacing w:after="0"/>
            </w:pPr>
            <w:r>
              <w:rPr>
                <w:sz w:val="14"/>
              </w:rPr>
              <w:t>E048</w:t>
            </w:r>
          </w:p>
        </w:tc>
        <w:tc>
          <w:tcPr>
            <w:tcW w:type="dxa" w:w="3685"/>
          </w:tcPr>
          <w:p>
            <w:pPr>
              <w:spacing w:after="0"/>
            </w:pPr>
            <w:r>
              <w:rPr>
                <w:sz w:val="14"/>
              </w:rPr>
              <w:t>Frozen 180 attempts over three inclinations with independent seeds, raw torque logs and source snapshots. Arush led AI-assisted implementation; team members supported the project.</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737"/>
          </w:tcPr>
          <w:p>
            <w:pPr>
              <w:keepNext/>
              <w:spacing w:after="0"/>
            </w:pPr>
            <w:r>
              <w:rPr>
                <w:sz w:val="14"/>
              </w:rPr>
              <w:t>2*</w:t>
            </w:r>
          </w:p>
        </w:tc>
        <w:tc>
          <w:tcPr>
            <w:tcW w:type="dxa" w:w="1474"/>
          </w:tcPr>
          <w:p>
            <w:pPr>
              <w:keepNext/>
              <w:spacing w:after="0"/>
            </w:pPr>
            <w:r>
              <w:rPr>
                <w:sz w:val="14"/>
              </w:rPr>
              <w:t>—</w:t>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1474"/>
          </w:tcPr>
          <w:p>
            <w:pPr>
              <w:spacing w:after="0"/>
            </w:pPr>
            <w:r>
              <w:rPr>
                <w:sz w:val="14"/>
              </w:rPr>
            </w:r>
          </w:p>
        </w:tc>
        <w:tc>
          <w:tcPr>
            <w:tcW w:type="dxa" w:w="2891"/>
          </w:tcPr>
          <w:p>
            <w:pPr>
              <w:spacing w:after="0"/>
            </w:pPr>
            <w:r/>
            <w:r>
              <w:rPr>
                <w:sz w:val="14"/>
              </w:rPr>
              <w:t xml:space="preserve">How is an apparent pipeline defect distinguished from a shadow, and how is detection confidence validated?</w:t>
            </w:r>
          </w:p>
        </w:tc>
      </w:tr>
    </w:tbl>
    <w:p>
      <w:r>
        <w:rPr>
          <w:sz w:val="14"/>
        </w:rPr>
        <w:t>*Group 07: provisional scores supplied by the student as an overall assessment. The assigned video has not been verified and no best-moment timestamp is claimed. Group 12 remains blank pending clarification of the student’s reference to Group 10.</w:t>
      </w:r>
    </w:p>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t>≈32 h*</w:t>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t>Lead implementation: model XML; crawler_cleaning_controller.py; vision_mission.py; panel_vision.py; run_final_validation.py; final_business_model.py. AI-assisted.</w:t>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t>≈32 h*</w:t>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t>Supported model-file development and business-model inputs; Arush led script implementation.</w:t>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t>≈32 h*</w:t>
            </w:r>
          </w:p>
        </w:tc>
        <w:tc>
          <w:tcPr>
            <w:tcW w:type="dxa" w:w="1247"/>
          </w:tcPr>
          <w:p>
            <w:pPr>
              <w:spacing w:after="0"/>
            </w:pPr>
            <w:r>
              <w:rPr>
                <w:sz w:val="14"/>
              </w:rPr>
            </w:r>
          </w:p>
        </w:tc>
        <w:tc>
          <w:tcPr>
            <w:tcW w:type="dxa" w:w="1304"/>
          </w:tcPr>
          <w:p>
            <w:pPr>
              <w:spacing w:after="0"/>
            </w:pPr>
            <w:r>
              <w:rPr>
                <w:sz w:val="14"/>
              </w:rPr>
            </w:r>
          </w:p>
        </w:tc>
        <w:tc>
          <w:tcPr>
            <w:tcW w:type="dxa" w:w="1474"/>
          </w:tcPr>
          <w:p>
            <w:pPr>
              <w:spacing w:after="0"/>
            </w:pPr>
            <w:r>
              <w:rPr>
                <w:sz w:val="14"/>
              </w:rPr>
              <w:t>Led business/economic inputs for final_business_model.py; Arush led script implementation.</w:t>
            </w:r>
          </w:p>
        </w:tc>
        <w:tc>
          <w:tcPr>
            <w:tcW w:type="dxa" w:w="1020"/>
          </w:tcPr>
          <w:p>
            <w:pPr>
              <w:spacing w:after="0"/>
            </w:pPr>
            <w:r>
              <w:rPr>
                <w:sz w:val="14"/>
              </w:rPr>
            </w:r>
          </w:p>
        </w:tc>
        <w:tc>
          <w:tcPr>
            <w:tcW w:type="dxa" w:w="1304"/>
          </w:tcPr>
          <w:p>
            <w:pPr>
              <w:spacing w:after="0"/>
            </w:pPr>
            <w:r>
              <w:rPr>
                <w:sz w:val="14"/>
              </w:rPr>
            </w:r>
          </w:p>
        </w:tc>
        <w:tc>
          <w:tcPr>
            <w:tcW w:type="dxa" w:w="1304"/>
          </w:tcPr>
          <w:p>
            <w:pPr>
              <w:spacing w:after="0"/>
            </w:pPr>
            <w:r>
              <w:rPr>
                <w:sz w:val="14"/>
              </w:rPr>
            </w:r>
          </w:p>
        </w:tc>
      </w:tr>
    </w:tbl>
    <w:p>
      <w:r>
        <w:rPr>
          <w:sz w:val="14"/>
        </w:rPr>
        <w:t>*Approximate retrospective estimate, not logged hours: two months treated as eight shared weekends, assuming four project hours per person per weekend. Additional individual hours are not estimated here.</w:t>
      </w:r>
    </w:p>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r>
          </w:p>
        </w:tc>
        <w:tc>
          <w:tcPr>
            <w:tcW w:type="dxa" w:w="3515"/>
          </w:tcPr>
          <w:p>
            <w:pPr>
              <w:keepNext/>
              <w:spacing w:after="0"/>
            </w:pPr>
            <w:r>
              <w:rPr>
                <w:sz w:val="14"/>
              </w:rPr>
            </w:r>
          </w:p>
        </w:tc>
        <w:tc>
          <w:tcPr>
            <w:tcW w:type="dxa" w:w="3515"/>
          </w:tcPr>
          <w:p>
            <w:pPr>
              <w:keepNext/>
              <w:spacing w:after="0"/>
            </w:pPr>
            <w:r>
              <w:rPr>
                <w:sz w:val="14"/>
              </w:rPr>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r>
          </w:p>
        </w:tc>
        <w:tc>
          <w:tcPr>
            <w:tcW w:type="dxa" w:w="3515"/>
          </w:tcPr>
          <w:p>
            <w:pPr>
              <w:keepNext/>
              <w:spacing w:after="0"/>
            </w:pPr>
            <w:r>
              <w:rPr>
                <w:sz w:val="14"/>
              </w:rPr>
            </w:r>
          </w:p>
        </w:tc>
        <w:tc>
          <w:tcPr>
            <w:tcW w:type="dxa" w:w="3515"/>
          </w:tcPr>
          <w:p>
            <w:pPr>
              <w:keepNext/>
              <w:spacing w:after="0"/>
            </w:pPr>
            <w:r>
              <w:rPr>
                <w:sz w:val="14"/>
              </w:rPr>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r>
          </w:p>
        </w:tc>
        <w:tc>
          <w:tcPr>
            <w:tcW w:type="dxa" w:w="3515"/>
          </w:tcPr>
          <w:p>
            <w:pPr>
              <w:spacing w:after="0"/>
            </w:pPr>
            <w:r>
              <w:rPr>
                <w:sz w:val="14"/>
              </w:rPr>
            </w:r>
          </w:p>
        </w:tc>
        <w:tc>
          <w:tcPr>
            <w:tcW w:type="dxa" w:w="3515"/>
          </w:tcPr>
          <w:p>
            <w:pPr>
              <w:spacing w:after="0"/>
            </w:pPr>
            <w:r>
              <w:rPr>
                <w:sz w:val="14"/>
              </w:rPr>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r>
          </w:p>
        </w:tc>
        <w:tc>
          <w:tcPr>
            <w:tcW w:type="dxa" w:w="1247"/>
          </w:tcPr>
          <w:p>
            <w:pPr>
              <w:spacing w:after="0"/>
            </w:pPr>
            <w:r>
              <w:rPr>
                <w:sz w:val="14"/>
              </w:rPr>
            </w:r>
          </w:p>
        </w:tc>
        <w:tc>
          <w:tcPr>
            <w:tcW w:type="dxa" w:w="1247"/>
          </w:tcPr>
          <w:p>
            <w:pPr>
              <w:spacing w:after="0"/>
            </w:pPr>
            <w:r>
              <w:rPr>
                <w:sz w:val="14"/>
              </w:rPr>
            </w:r>
          </w:p>
        </w:tc>
        <w:tc>
          <w:tcPr>
            <w:tcW w:type="dxa" w:w="2211"/>
          </w:tcPr>
          <w:p>
            <w:r>
              <w:rPr>
                <w:highlight w:val="yellow"/>
              </w:rPr>
              <w:t>SIGN PERSONALLY</w:t>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Personal entries and peer-video reviews must be completed from the members’ answers and the actual videos before submission.</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 xml:space="preserve">From the group directory, use the pinned Python environment in requirements.txt. Headless execution requires MUJOCO_GL=egl before importing MuJoCo. Commands: submission/REPRODUCE.md. Raw final CSVs use XZ. This derivative uses ordinary editable text; original controls and choices remain in the preserved faculty Word form. Every original choice and answer is recorded in the companion FIELD_AUDIT.json.</w:t>
      </w:r>
    </w:p>
    <w:p>
      <w:r>
        <w:rPr>
          <w:sz w:val="14"/>
        </w:rPr>
        <w:t>Before submission, confirm the personal entries, complete the actual assigned video reviews, insert the final team video URL and obtain each member’s own signature. Faculty and Teams submission are separate.</w:t>
      </w:r>
    </w:p>
    <w:p>
      <w:r>
        <w:rPr>
          <w:sz w:val="14"/>
        </w:rPr>
        <w:t>Team contributions</w:t>
      </w:r>
    </w:p>
    <w:p>
      <w:r>
        <w:rPr>
          <w:sz w:val="14"/>
        </w:rPr>
        <w:t>Arush (E048) led the 3D modelling, coding, file implementation and MuJoCo simulation. Ronit (E052) supported 3D modelling and business modelling. Harshvardhan (E058) focused on business modelling and economics. The members worked together on weekends over approximately two months.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