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Model &amp;</w:t>
        <w:br/>
        <w:t>Techno-Economic Analysis</w:t>
      </w:r>
    </w:p>
    <w:p>
      <w:r>
        <w:rPr>
          <w:b/>
        </w:rPr>
        <w:t>Autonomous inclined-solar-panel cleaning crawler</w:t>
      </w:r>
    </w:p>
    <w:p>
      <w:r>
        <w:rPr>
          <w:b w:val="0"/>
        </w:rPr>
        <w:t>Group 06 · Arush Ashish Patil (E048), Ronit Rajput (E052), Harshvardhan Sahi (E058)</w:t>
      </w:r>
    </w:p>
    <w:p>
      <w:r>
        <w:rPr>
          <w:b w:val="0"/>
        </w:rPr>
        <w:t>Business-model script and economics: Harshvardhan. Business/model support: Ronit. Robot physics, control logic and simulation: Arush. Development and report preparation were AI-assisted.</w:t>
      </w:r>
    </w:p>
    <w:p>
      <w:pPr>
        <w:pStyle w:val="Heading2"/>
      </w:pPr>
      <w:r>
        <w:t>Decision summary</w:t>
      </w:r>
    </w:p>
    <w:p>
      <w:r>
        <w:rPr>
          <w:b w:val="0"/>
        </w:rPr>
        <w:t>The proposed product combines contamination-triggered cleaning, a fixed rotary brush, a solid-object guide/catch tray and an external service dock. The business case evaluates whether one cleaner serving manually transferred panel sections can reduce operating effort and cost relative to an assumed manual baseline.</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Base-case output</w:t>
            </w:r>
          </w:p>
        </w:tc>
        <w:tc>
          <w:tcPr>
            <w:tcW w:type="dxa" w:w="5018"/>
            <w:shd w:fill="E5EFF1"/>
          </w:tcPr>
          <w:p>
            <w:pPr>
              <w:spacing w:after="60" w:before="40"/>
            </w:pPr>
            <w:r>
              <w:rPr>
                <w:b/>
                <w:sz w:val="18"/>
              </w:rPr>
              <w:t>Calculated result</w:t>
            </w:r>
          </w:p>
        </w:tc>
      </w:tr>
      <w:tr>
        <w:trPr>
          <w:cantSplit/>
        </w:trPr>
        <w:tc>
          <w:tcPr>
            <w:tcW w:type="dxa" w:w="5018"/>
          </w:tcPr>
          <w:p>
            <w:pPr>
              <w:spacing w:after="60" w:before="40"/>
            </w:pPr>
            <w:r>
              <w:rPr>
                <w:b w:val="0"/>
                <w:sz w:val="18"/>
              </w:rPr>
              <w:t>Normalised annual operating cost, κ</w:t>
            </w:r>
          </w:p>
        </w:tc>
        <w:tc>
          <w:tcPr>
            <w:tcW w:type="dxa" w:w="5018"/>
          </w:tcPr>
          <w:p>
            <w:pPr>
              <w:spacing w:after="60" w:before="40"/>
            </w:pPr>
            <w:r>
              <w:rPr>
                <w:b w:val="0"/>
                <w:sz w:val="18"/>
              </w:rPr>
              <w:t>0.619926 of the manual baseline</w:t>
            </w:r>
          </w:p>
        </w:tc>
      </w:tr>
      <w:tr>
        <w:trPr>
          <w:cantSplit/>
        </w:trPr>
        <w:tc>
          <w:tcPr>
            <w:tcW w:type="dxa" w:w="5018"/>
          </w:tcPr>
          <w:p>
            <w:pPr>
              <w:spacing w:after="60" w:before="40"/>
            </w:pPr>
            <w:r>
              <w:rPr>
                <w:b w:val="0"/>
                <w:sz w:val="18"/>
              </w:rPr>
              <w:t>Normalised Cost Reduction Index, 1 − κ</w:t>
            </w:r>
          </w:p>
        </w:tc>
        <w:tc>
          <w:tcPr>
            <w:tcW w:type="dxa" w:w="5018"/>
          </w:tcPr>
          <w:p>
            <w:pPr>
              <w:spacing w:after="60" w:before="40"/>
            </w:pPr>
            <w:r>
              <w:rPr>
                <w:b w:val="0"/>
                <w:sz w:val="18"/>
              </w:rPr>
              <w:t>38.01%</w:t>
            </w:r>
          </w:p>
        </w:tc>
      </w:tr>
      <w:tr>
        <w:trPr>
          <w:cantSplit/>
        </w:trPr>
        <w:tc>
          <w:tcPr>
            <w:tcW w:type="dxa" w:w="5018"/>
          </w:tcPr>
          <w:p>
            <w:pPr>
              <w:spacing w:after="60" w:before="40"/>
            </w:pPr>
            <w:r>
              <w:rPr>
                <w:b w:val="0"/>
                <w:sz w:val="18"/>
              </w:rPr>
              <w:t>Simple payback / lifetime-normalised payback</w:t>
            </w:r>
          </w:p>
        </w:tc>
        <w:tc>
          <w:tcPr>
            <w:tcW w:type="dxa" w:w="5018"/>
          </w:tcPr>
          <w:p>
            <w:pPr>
              <w:spacing w:after="60" w:before="40"/>
            </w:pPr>
            <w:r>
              <w:rPr>
                <w:b w:val="0"/>
                <w:sz w:val="18"/>
              </w:rPr>
              <w:t>20.52 months / 0.3420</w:t>
            </w:r>
          </w:p>
        </w:tc>
      </w:tr>
      <w:tr>
        <w:trPr>
          <w:cantSplit/>
        </w:trPr>
        <w:tc>
          <w:tcPr>
            <w:tcW w:type="dxa" w:w="5018"/>
          </w:tcPr>
          <w:p>
            <w:pPr>
              <w:spacing w:after="60" w:before="40"/>
            </w:pPr>
            <w:r>
              <w:rPr>
                <w:b w:val="0"/>
                <w:sz w:val="18"/>
              </w:rPr>
              <w:t>Monthly human effort / reclaimed effort</w:t>
            </w:r>
          </w:p>
        </w:tc>
        <w:tc>
          <w:tcPr>
            <w:tcW w:type="dxa" w:w="5018"/>
          </w:tcPr>
          <w:p>
            <w:pPr>
              <w:spacing w:after="60" w:before="40"/>
            </w:pPr>
            <w:r>
              <w:rPr>
                <w:b w:val="0"/>
                <w:sz w:val="18"/>
              </w:rPr>
              <w:t>62.94 / 57.06 person-hours</w:t>
            </w:r>
          </w:p>
        </w:tc>
      </w:tr>
      <w:tr>
        <w:trPr>
          <w:cantSplit/>
        </w:trPr>
        <w:tc>
          <w:tcPr>
            <w:tcW w:type="dxa" w:w="5018"/>
          </w:tcPr>
          <w:p>
            <w:pPr>
              <w:spacing w:after="60" w:before="40"/>
            </w:pPr>
            <w:r>
              <w:rPr>
                <w:b w:val="0"/>
                <w:sz w:val="18"/>
              </w:rPr>
              <w:t>Service capacity / assumed demand</w:t>
            </w:r>
          </w:p>
        </w:tc>
        <w:tc>
          <w:tcPr>
            <w:tcW w:type="dxa" w:w="5018"/>
          </w:tcPr>
          <w:p>
            <w:pPr>
              <w:spacing w:after="60" w:before="40"/>
            </w:pPr>
            <w:r>
              <w:rPr>
                <w:b w:val="0"/>
                <w:sz w:val="18"/>
              </w:rPr>
              <w:t>4.541 / 2.625 sections/hour</w:t>
            </w:r>
          </w:p>
        </w:tc>
      </w:tr>
      <w:tr>
        <w:trPr>
          <w:cantSplit/>
        </w:trPr>
        <w:tc>
          <w:tcPr>
            <w:tcW w:type="dxa" w:w="5018"/>
          </w:tcPr>
          <w:p>
            <w:pPr>
              <w:spacing w:after="60" w:before="40"/>
            </w:pPr>
            <w:r>
              <w:rPr>
                <w:b w:val="0"/>
                <w:sz w:val="18"/>
              </w:rPr>
              <w:t>M/M/1 mean queue wait</w:t>
            </w:r>
          </w:p>
        </w:tc>
        <w:tc>
          <w:tcPr>
            <w:tcW w:type="dxa" w:w="5018"/>
          </w:tcPr>
          <w:p>
            <w:pPr>
              <w:spacing w:after="60" w:before="40"/>
            </w:pPr>
            <w:r>
              <w:rPr>
                <w:b w:val="0"/>
                <w:sz w:val="18"/>
              </w:rPr>
              <w:t>18.10 minutes under distribution assumptions</w:t>
            </w:r>
          </w:p>
        </w:tc>
      </w:tr>
    </w:tbl>
    <w:p>
      <w:pPr>
        <w:pStyle w:val="Heading2"/>
      </w:pPr>
      <w:r>
        <w:t>What these numbers establish</w:t>
      </w:r>
    </w:p>
    <w:p>
      <w:r>
        <w:rPr>
          <w:b w:val="0"/>
        </w:rPr>
        <w:t>They are reproducible scenario outputs using measured simulation timing/work and explicitly assumed commercial inputs. They are not supplier quotations, customer-trial savings, measured electrical consumption or PV energy-yield recovery. Currency values are excluded in accordance with the course rubric.</w:t>
      </w:r>
    </w:p>
    <w:p>
      <w:r>
        <w:rPr>
          <w:b w:val="0"/>
        </w:rPr>
        <w:t>The report covers the product proposition, operating workflow, assumptions, equations, worked calculations, queueing, sensitivity, uncertainty, risk and reproduction. The companion package contains the actual Python business script and its input/output files.</w:t>
      </w:r>
    </w:p>
    <w:p>
      <w:r>
        <w:br w:type="page"/>
      </w:r>
    </w:p>
    <w:p>
      <w:pPr>
        <w:pStyle w:val="Heading1"/>
      </w:pPr>
      <w:r>
        <w:t>1 · Proposed commercial model</w:t>
      </w:r>
    </w:p>
    <w:p>
      <w:r>
        <w:rPr>
          <w:b w:val="0"/>
        </w:rPr>
        <w:t>This is a proposed route to market; customer demand, willingness to pay and supplier costs have not been validated.</w:t>
      </w:r>
    </w:p>
    <w:tbl>
      <w:tblPr>
        <w:tblStyle w:val="TableGrid"/>
        <w:tblW w:type="auto" w:w="0"/>
        <w:tblLayout w:type="fixed"/>
        <w:tblLook w:firstColumn="1" w:firstRow="1" w:lastColumn="0" w:lastRow="0" w:noHBand="0" w:noVBand="1" w:val="04A0"/>
      </w:tblPr>
      <w:tblGrid>
        <w:gridCol w:w="2304"/>
        <w:gridCol w:w="7704"/>
      </w:tblGrid>
      <w:tr>
        <w:trPr>
          <w:tblHeader/>
          <w:cantSplit/>
        </w:trPr>
        <w:tc>
          <w:tcPr>
            <w:tcW w:type="dxa" w:w="2304"/>
            <w:shd w:fill="E5EFF1"/>
          </w:tcPr>
          <w:p>
            <w:pPr>
              <w:spacing w:after="60" w:before="40"/>
            </w:pPr>
            <w:r>
              <w:rPr>
                <w:b/>
                <w:sz w:val="18"/>
              </w:rPr>
              <w:t>Business-model element</w:t>
            </w:r>
          </w:p>
        </w:tc>
        <w:tc>
          <w:tcPr>
            <w:tcW w:type="dxa" w:w="7704"/>
            <w:shd w:fill="E5EFF1"/>
          </w:tcPr>
          <w:p>
            <w:pPr>
              <w:spacing w:after="60" w:before="40"/>
            </w:pPr>
            <w:r>
              <w:rPr>
                <w:b/>
                <w:sz w:val="18"/>
              </w:rPr>
              <w:t>Proposed approach</w:t>
            </w:r>
          </w:p>
        </w:tc>
      </w:tr>
      <w:tr>
        <w:trPr>
          <w:cantSplit/>
        </w:trPr>
        <w:tc>
          <w:tcPr>
            <w:tcW w:type="dxa" w:w="2304"/>
          </w:tcPr>
          <w:p>
            <w:pPr>
              <w:spacing w:after="60" w:before="40"/>
            </w:pPr>
            <w:r>
              <w:rPr>
                <w:b w:val="0"/>
                <w:sz w:val="18"/>
              </w:rPr>
              <w:t>Customer segments</w:t>
            </w:r>
          </w:p>
        </w:tc>
        <w:tc>
          <w:tcPr>
            <w:tcW w:type="dxa" w:w="7704"/>
          </w:tcPr>
          <w:p>
            <w:pPr>
              <w:spacing w:after="60" w:before="40"/>
            </w:pPr>
            <w:r>
              <w:rPr>
                <w:b w:val="0"/>
                <w:sz w:val="18"/>
              </w:rPr>
              <w:t>Commercial rooftop-PV operators and operations/maintenance contractors with accessible, compatible panel sections.</w:t>
            </w:r>
          </w:p>
        </w:tc>
      </w:tr>
      <w:tr>
        <w:trPr>
          <w:cantSplit/>
        </w:trPr>
        <w:tc>
          <w:tcPr>
            <w:tcW w:type="dxa" w:w="2304"/>
          </w:tcPr>
          <w:p>
            <w:pPr>
              <w:spacing w:after="60" w:before="40"/>
            </w:pPr>
            <w:r>
              <w:rPr>
                <w:b w:val="0"/>
                <w:sz w:val="18"/>
              </w:rPr>
              <w:t>Value proposition</w:t>
            </w:r>
          </w:p>
        </w:tc>
        <w:tc>
          <w:tcPr>
            <w:tcW w:type="dxa" w:w="7704"/>
          </w:tcPr>
          <w:p>
            <w:pPr>
              <w:spacing w:after="60" w:before="40"/>
            </w:pPr>
            <w:r>
              <w:rPr>
                <w:b w:val="0"/>
                <w:sz w:val="18"/>
              </w:rPr>
              <w:t>Clean when dirt is detected; reduce hands-on sweeping; combine a visible digital prototype with a transparent labour/cost model.</w:t>
            </w:r>
          </w:p>
        </w:tc>
      </w:tr>
      <w:tr>
        <w:trPr>
          <w:cantSplit/>
        </w:trPr>
        <w:tc>
          <w:tcPr>
            <w:tcW w:type="dxa" w:w="2304"/>
          </w:tcPr>
          <w:p>
            <w:pPr>
              <w:spacing w:after="60" w:before="40"/>
            </w:pPr>
            <w:r>
              <w:rPr>
                <w:b w:val="0"/>
                <w:sz w:val="18"/>
              </w:rPr>
              <w:t>Differentiation</w:t>
            </w:r>
          </w:p>
        </w:tc>
        <w:tc>
          <w:tcPr>
            <w:tcW w:type="dxa" w:w="7704"/>
          </w:tcPr>
          <w:p>
            <w:pPr>
              <w:spacing w:after="60" w:before="40"/>
            </w:pPr>
            <w:r>
              <w:rPr>
                <w:b w:val="0"/>
                <w:sz w:val="18"/>
              </w:rPr>
              <w:t>RGB-gated departure, inspection feeds, targeted revisits, a fixed broad brush, rigid-body handling of a selected larger object and external servicing.</w:t>
            </w:r>
          </w:p>
        </w:tc>
      </w:tr>
      <w:tr>
        <w:trPr>
          <w:cantSplit/>
        </w:trPr>
        <w:tc>
          <w:tcPr>
            <w:tcW w:type="dxa" w:w="2304"/>
          </w:tcPr>
          <w:p>
            <w:pPr>
              <w:spacing w:after="60" w:before="40"/>
            </w:pPr>
            <w:r>
              <w:rPr>
                <w:b w:val="0"/>
                <w:sz w:val="18"/>
              </w:rPr>
              <w:t>Offering / revenue hypothesis</w:t>
            </w:r>
          </w:p>
        </w:tc>
        <w:tc>
          <w:tcPr>
            <w:tcW w:type="dxa" w:w="7704"/>
          </w:tcPr>
          <w:p>
            <w:pPr>
              <w:spacing w:after="60" w:before="40"/>
            </w:pPr>
            <w:r>
              <w:rPr>
                <w:b w:val="0"/>
                <w:sz w:val="18"/>
              </w:rPr>
              <w:t>Equipment sale or lease with maintenance support. A managed cleaning service priced per section is an alternative; no tariff or profit is calculated here.</w:t>
            </w:r>
          </w:p>
        </w:tc>
      </w:tr>
      <w:tr>
        <w:trPr>
          <w:cantSplit/>
        </w:trPr>
        <w:tc>
          <w:tcPr>
            <w:tcW w:type="dxa" w:w="2304"/>
          </w:tcPr>
          <w:p>
            <w:pPr>
              <w:spacing w:after="60" w:before="40"/>
            </w:pPr>
            <w:r>
              <w:rPr>
                <w:b w:val="0"/>
                <w:sz w:val="18"/>
              </w:rPr>
              <w:t>Customer relationships</w:t>
            </w:r>
          </w:p>
        </w:tc>
        <w:tc>
          <w:tcPr>
            <w:tcW w:type="dxa" w:w="7704"/>
          </w:tcPr>
          <w:p>
            <w:pPr>
              <w:spacing w:after="60" w:before="40"/>
            </w:pPr>
            <w:r>
              <w:rPr>
                <w:b w:val="0"/>
                <w:sz w:val="18"/>
              </w:rPr>
              <w:t>Site assessment, installation/rehearsal, operator training, periodic inspection and maintenance records.</w:t>
            </w:r>
          </w:p>
        </w:tc>
      </w:tr>
      <w:tr>
        <w:trPr>
          <w:cantSplit/>
        </w:trPr>
        <w:tc>
          <w:tcPr>
            <w:tcW w:type="dxa" w:w="2304"/>
          </w:tcPr>
          <w:p>
            <w:pPr>
              <w:spacing w:after="60" w:before="40"/>
            </w:pPr>
            <w:r>
              <w:rPr>
                <w:b w:val="0"/>
                <w:sz w:val="18"/>
              </w:rPr>
              <w:t>Channels / partners</w:t>
            </w:r>
          </w:p>
        </w:tc>
        <w:tc>
          <w:tcPr>
            <w:tcW w:type="dxa" w:w="7704"/>
          </w:tcPr>
          <w:p>
            <w:pPr>
              <w:spacing w:after="60" w:before="40"/>
            </w:pPr>
            <w:r>
              <w:rPr>
                <w:b w:val="0"/>
                <w:sz w:val="18"/>
              </w:rPr>
              <w:t>Proposed direct pilot with a PV operator or cleaning contractor; prospective fabrication, motor, camera and service partners. No partnership is claimed.</w:t>
            </w:r>
          </w:p>
        </w:tc>
      </w:tr>
      <w:tr>
        <w:trPr>
          <w:cantSplit/>
        </w:trPr>
        <w:tc>
          <w:tcPr>
            <w:tcW w:type="dxa" w:w="2304"/>
          </w:tcPr>
          <w:p>
            <w:pPr>
              <w:spacing w:after="60" w:before="40"/>
            </w:pPr>
            <w:r>
              <w:rPr>
                <w:b w:val="0"/>
                <w:sz w:val="18"/>
              </w:rPr>
              <w:t>Key resources / activities</w:t>
            </w:r>
          </w:p>
        </w:tc>
        <w:tc>
          <w:tcPr>
            <w:tcW w:type="dxa" w:w="7704"/>
          </w:tcPr>
          <w:p>
            <w:pPr>
              <w:spacing w:after="60" w:before="40"/>
            </w:pPr>
            <w:r>
              <w:rPr>
                <w:b w:val="0"/>
                <w:sz w:val="18"/>
              </w:rPr>
              <w:t>Crawler, brush/guide, cameras, containment, dock/tray, software, model validation, inspection and manual transfer between sections.</w:t>
            </w:r>
          </w:p>
        </w:tc>
      </w:tr>
      <w:tr>
        <w:trPr>
          <w:cantSplit/>
        </w:trPr>
        <w:tc>
          <w:tcPr>
            <w:tcW w:type="dxa" w:w="2304"/>
          </w:tcPr>
          <w:p>
            <w:pPr>
              <w:spacing w:after="60" w:before="40"/>
            </w:pPr>
            <w:r>
              <w:rPr>
                <w:b w:val="0"/>
                <w:sz w:val="18"/>
              </w:rPr>
              <w:t>Cost structure</w:t>
            </w:r>
          </w:p>
        </w:tc>
        <w:tc>
          <w:tcPr>
            <w:tcW w:type="dxa" w:w="7704"/>
          </w:tcPr>
          <w:p>
            <w:pPr>
              <w:spacing w:after="60" w:before="40"/>
            </w:pPr>
            <w:r>
              <w:rPr>
                <w:b w:val="0"/>
                <w:sz w:val="18"/>
              </w:rPr>
              <w:t>Capital equipment plus supervision, transfer/recovery labour, maintenance, estimated energy, spares/battery and consumables.</w:t>
            </w:r>
          </w:p>
        </w:tc>
      </w:tr>
      <w:tr>
        <w:trPr>
          <w:cantSplit/>
        </w:trPr>
        <w:tc>
          <w:tcPr>
            <w:tcW w:type="dxa" w:w="2304"/>
          </w:tcPr>
          <w:p>
            <w:pPr>
              <w:spacing w:after="60" w:before="40"/>
            </w:pPr>
            <w:r>
              <w:rPr>
                <w:b w:val="0"/>
                <w:sz w:val="18"/>
              </w:rPr>
              <w:t>Adoption gate</w:t>
            </w:r>
          </w:p>
        </w:tc>
        <w:tc>
          <w:tcPr>
            <w:tcW w:type="dxa" w:w="7704"/>
          </w:tcPr>
          <w:p>
            <w:pPr>
              <w:spacing w:after="60" w:before="40"/>
            </w:pPr>
            <w:r>
              <w:rPr>
                <w:b w:val="0"/>
                <w:sz w:val="18"/>
              </w:rPr>
              <w:t>Demonstrate real traction, panel/coating compatibility, safe mounting, reliable sensing, measured electrical power and operator workflow before commercial claims.</w:t>
            </w:r>
          </w:p>
        </w:tc>
      </w:tr>
    </w:tbl>
    <w:p>
      <w:pPr>
        <w:pStyle w:val="Heading2"/>
      </w:pPr>
      <w:r>
        <w:t>Operating workflow and responsibility</w:t>
      </w:r>
    </w:p>
    <w:p>
      <w:r>
        <w:rPr>
          <w:b w:val="0"/>
        </w:rPr>
        <w:t>The operator places and checks the system on one modelled 6 × 4 m bay. Cameras monitor contamination; persistent detections trigger cleaning. The robot sweeps, revisits detected residuals, guides the selected solid to the tray, returns to the external dock and performs modelled emptying/charging service. A human transfers it to the next bay, handles recovery and performs maintenance.</w:t>
      </w:r>
    </w:p>
    <w:p>
      <w:r>
        <w:rPr>
          <w:b w:val="0"/>
        </w:rPr>
        <w:t>The model is a cost-feasibility calculation, not a complete vendor profit-and-loss forecast. Selling price, customer acquisition, manufacturing scale, financing, tax and discounted cash flows require additional evidence.</w:t>
      </w:r>
    </w:p>
    <w:p>
      <w:r>
        <w:br w:type="page"/>
      </w:r>
    </w:p>
    <w:p>
      <w:pPr>
        <w:pStyle w:val="Heading1"/>
      </w:pPr>
      <w:r>
        <w:t>2 · Simulation evidence and workload</w:t>
      </w:r>
    </w:p>
    <w:p>
      <w:r>
        <w:rPr>
          <w:b w:val="0"/>
        </w:rPr>
        <w:t>Economic calibration selects all 30 proposed-controller attempts at 20° from the frozen 180-attempt evaluation (two controllers × three inclinations × 30 attempts). Failures are retained by the selector; all 30 selected attempts happened to succeed.</w:t>
      </w:r>
    </w:p>
    <w:tbl>
      <w:tblPr>
        <w:tblStyle w:val="TableGrid"/>
        <w:tblW w:type="auto" w:w="0"/>
        <w:tblLook w:firstColumn="1" w:firstRow="1" w:lastColumn="0" w:lastRow="0" w:noHBand="0" w:noVBand="1" w:val="04A0"/>
      </w:tblPr>
      <w:tblGrid>
        <w:gridCol w:w="3346"/>
        <w:gridCol w:w="3346"/>
        <w:gridCol w:w="3346"/>
      </w:tblGrid>
      <w:tr>
        <w:trPr>
          <w:tblHeader/>
          <w:cantSplit/>
        </w:trPr>
        <w:tc>
          <w:tcPr>
            <w:tcW w:type="dxa" w:w="3346"/>
            <w:shd w:fill="E5EFF1"/>
          </w:tcPr>
          <w:p>
            <w:pPr>
              <w:spacing w:after="60" w:before="40"/>
            </w:pPr>
            <w:r>
              <w:rPr>
                <w:b/>
                <w:sz w:val="18"/>
              </w:rPr>
              <w:t>Simulation-derived input</w:t>
            </w:r>
          </w:p>
        </w:tc>
        <w:tc>
          <w:tcPr>
            <w:tcW w:type="dxa" w:w="3346"/>
            <w:shd w:fill="E5EFF1"/>
          </w:tcPr>
          <w:p>
            <w:pPr>
              <w:spacing w:after="60" w:before="40"/>
            </w:pPr>
            <w:r>
              <w:rPr>
                <w:b/>
                <w:sz w:val="18"/>
              </w:rPr>
              <w:t>Value</w:t>
            </w:r>
          </w:p>
        </w:tc>
        <w:tc>
          <w:tcPr>
            <w:tcW w:type="dxa" w:w="3346"/>
            <w:shd w:fill="E5EFF1"/>
          </w:tcPr>
          <w:p>
            <w:pPr>
              <w:spacing w:after="60" w:before="40"/>
            </w:pPr>
            <w:r>
              <w:rPr>
                <w:b/>
                <w:sz w:val="18"/>
              </w:rPr>
              <w:t>Interpretation</w:t>
            </w:r>
          </w:p>
        </w:tc>
      </w:tr>
      <w:tr>
        <w:trPr>
          <w:cantSplit/>
        </w:trPr>
        <w:tc>
          <w:tcPr>
            <w:tcW w:type="dxa" w:w="3346"/>
          </w:tcPr>
          <w:p>
            <w:pPr>
              <w:spacing w:after="60" w:before="40"/>
            </w:pPr>
            <w:r>
              <w:rPr>
                <w:b w:val="0"/>
                <w:sz w:val="18"/>
              </w:rPr>
              <w:t>Selected sample</w:t>
            </w:r>
          </w:p>
        </w:tc>
        <w:tc>
          <w:tcPr>
            <w:tcW w:type="dxa" w:w="3346"/>
          </w:tcPr>
          <w:p>
            <w:pPr>
              <w:spacing w:after="60" w:before="40"/>
            </w:pPr>
            <w:r>
              <w:rPr>
                <w:b w:val="0"/>
                <w:sz w:val="18"/>
              </w:rPr>
              <w:t>30/30 completed</w:t>
            </w:r>
          </w:p>
        </w:tc>
        <w:tc>
          <w:tcPr>
            <w:tcW w:type="dxa" w:w="3346"/>
          </w:tcPr>
          <w:p>
            <w:pPr>
              <w:spacing w:after="60" w:before="40"/>
            </w:pPr>
            <w:r>
              <w:rPr>
                <w:b w:val="0"/>
                <w:sz w:val="18"/>
              </w:rPr>
              <w:t>Observed simulation fraction p = 1; not proof of perfect field reliability.</w:t>
            </w:r>
          </w:p>
        </w:tc>
      </w:tr>
      <w:tr>
        <w:trPr>
          <w:cantSplit/>
        </w:trPr>
        <w:tc>
          <w:tcPr>
            <w:tcW w:type="dxa" w:w="3346"/>
          </w:tcPr>
          <w:p>
            <w:pPr>
              <w:spacing w:after="60" w:before="40"/>
            </w:pPr>
            <w:r>
              <w:rPr>
                <w:b w:val="0"/>
                <w:sz w:val="18"/>
              </w:rPr>
              <w:t>Mean attempt time Tₐ</w:t>
            </w:r>
          </w:p>
        </w:tc>
        <w:tc>
          <w:tcPr>
            <w:tcW w:type="dxa" w:w="3346"/>
          </w:tcPr>
          <w:p>
            <w:pPr>
              <w:spacing w:after="60" w:before="40"/>
            </w:pPr>
            <w:r>
              <w:rPr>
                <w:b w:val="0"/>
                <w:sz w:val="18"/>
              </w:rPr>
              <w:t>612.712933 s</w:t>
            </w:r>
          </w:p>
        </w:tc>
        <w:tc>
          <w:tcPr>
            <w:tcW w:type="dxa" w:w="3346"/>
          </w:tcPr>
          <w:p>
            <w:pPr>
              <w:spacing w:after="60" w:before="40"/>
            </w:pPr>
            <w:r>
              <w:rPr>
                <w:b w:val="0"/>
                <w:sz w:val="18"/>
              </w:rPr>
              <w:t>About 10.21 minutes; full attempt timing, not video runtime.</w:t>
            </w:r>
          </w:p>
        </w:tc>
      </w:tr>
      <w:tr>
        <w:trPr>
          <w:cantSplit/>
        </w:trPr>
        <w:tc>
          <w:tcPr>
            <w:tcW w:type="dxa" w:w="3346"/>
          </w:tcPr>
          <w:p>
            <w:pPr>
              <w:spacing w:after="60" w:before="40"/>
            </w:pPr>
            <w:r>
              <w:rPr>
                <w:b w:val="0"/>
                <w:sz w:val="18"/>
              </w:rPr>
              <w:t>Positive actuator mechanical work</w:t>
            </w:r>
          </w:p>
        </w:tc>
        <w:tc>
          <w:tcPr>
            <w:tcW w:type="dxa" w:w="3346"/>
          </w:tcPr>
          <w:p>
            <w:pPr>
              <w:spacing w:after="60" w:before="40"/>
            </w:pPr>
            <w:r>
              <w:rPr>
                <w:b w:val="0"/>
                <w:sz w:val="18"/>
              </w:rPr>
              <w:t>3087.405795 J</w:t>
            </w:r>
          </w:p>
        </w:tc>
        <w:tc>
          <w:tcPr>
            <w:tcW w:type="dxa" w:w="3346"/>
          </w:tcPr>
          <w:p>
            <w:pPr>
              <w:spacing w:after="60" w:before="40"/>
            </w:pPr>
            <w:r>
              <w:rPr>
                <w:b w:val="0"/>
                <w:sz w:val="18"/>
              </w:rPr>
              <w:t>Integrated simulated torque × speed; not electrical energy.</w:t>
            </w:r>
          </w:p>
        </w:tc>
      </w:tr>
      <w:tr>
        <w:trPr>
          <w:cantSplit/>
        </w:trPr>
        <w:tc>
          <w:tcPr>
            <w:tcW w:type="dxa" w:w="3346"/>
          </w:tcPr>
          <w:p>
            <w:pPr>
              <w:spacing w:after="60" w:before="40"/>
            </w:pPr>
            <w:r>
              <w:rPr>
                <w:b w:val="0"/>
                <w:sz w:val="18"/>
              </w:rPr>
              <w:t>Modelled blower energy</w:t>
            </w:r>
          </w:p>
        </w:tc>
        <w:tc>
          <w:tcPr>
            <w:tcW w:type="dxa" w:w="3346"/>
          </w:tcPr>
          <w:p>
            <w:pPr>
              <w:spacing w:after="60" w:before="40"/>
            </w:pPr>
            <w:r>
              <w:rPr>
                <w:b w:val="0"/>
                <w:sz w:val="18"/>
              </w:rPr>
              <w:t>7081.932000 J</w:t>
            </w:r>
          </w:p>
        </w:tc>
        <w:tc>
          <w:tcPr>
            <w:tcW w:type="dxa" w:w="3346"/>
          </w:tcPr>
          <w:p>
            <w:pPr>
              <w:spacing w:after="60" w:before="40"/>
            </w:pPr>
            <w:r>
              <w:rPr>
                <w:b w:val="0"/>
                <w:sz w:val="18"/>
              </w:rPr>
              <w:t>Computed using assumed 20 W blower power; not a power measurement.</w:t>
            </w:r>
          </w:p>
        </w:tc>
      </w:tr>
      <w:tr>
        <w:trPr>
          <w:cantSplit/>
        </w:trPr>
        <w:tc>
          <w:tcPr>
            <w:tcW w:type="dxa" w:w="3346"/>
          </w:tcPr>
          <w:p>
            <w:pPr>
              <w:spacing w:after="60" w:before="40"/>
            </w:pPr>
            <w:r>
              <w:rPr>
                <w:b w:val="0"/>
                <w:sz w:val="18"/>
              </w:rPr>
              <w:t>Input provenance</w:t>
            </w:r>
          </w:p>
        </w:tc>
        <w:tc>
          <w:tcPr>
            <w:tcW w:type="dxa" w:w="3346"/>
          </w:tcPr>
          <w:p>
            <w:pPr>
              <w:spacing w:after="60" w:before="40"/>
            </w:pPr>
            <w:r>
              <w:rPr>
                <w:b w:val="0"/>
                <w:sz w:val="18"/>
              </w:rPr>
              <w:t>summary.csv + protocol/statistics</w:t>
            </w:r>
          </w:p>
        </w:tc>
        <w:tc>
          <w:tcPr>
            <w:tcW w:type="dxa" w:w="3346"/>
          </w:tcPr>
          <w:p>
            <w:pPr>
              <w:spacing w:after="60" w:before="40"/>
            </w:pPr>
            <w:r>
              <w:rPr>
                <w:b w:val="0"/>
                <w:sz w:val="18"/>
              </w:rPr>
              <w:t>analytics/final_validation_v1; raw 500 Hz trial logs retained separately.</w:t>
            </w:r>
          </w:p>
        </w:tc>
      </w:tr>
    </w:tbl>
    <w:p>
      <w:pPr>
        <w:pStyle w:val="Heading2"/>
      </w:pPr>
      <w:r>
        <w:t>Operational scenario assumptions</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Input</w:t>
            </w:r>
          </w:p>
        </w:tc>
        <w:tc>
          <w:tcPr>
            <w:tcW w:type="dxa" w:w="5018"/>
            <w:shd w:fill="E5EFF1"/>
          </w:tcPr>
          <w:p>
            <w:pPr>
              <w:spacing w:after="60" w:before="40"/>
            </w:pPr>
            <w:r>
              <w:rPr>
                <w:b/>
                <w:sz w:val="18"/>
              </w:rPr>
              <w:t>Assumed value</w:t>
            </w:r>
          </w:p>
        </w:tc>
      </w:tr>
      <w:tr>
        <w:trPr>
          <w:cantSplit/>
        </w:trPr>
        <w:tc>
          <w:tcPr>
            <w:tcW w:type="dxa" w:w="5018"/>
          </w:tcPr>
          <w:p>
            <w:pPr>
              <w:spacing w:after="60" w:before="40"/>
            </w:pPr>
            <w:r>
              <w:rPr>
                <w:b w:val="0"/>
                <w:sz w:val="18"/>
              </w:rPr>
              <w:t>Section size / workload</w:t>
            </w:r>
          </w:p>
        </w:tc>
        <w:tc>
          <w:tcPr>
            <w:tcW w:type="dxa" w:w="5018"/>
          </w:tcPr>
          <w:p>
            <w:pPr>
              <w:spacing w:after="60" w:before="40"/>
            </w:pPr>
            <w:r>
              <w:rPr>
                <w:b w:val="0"/>
                <w:sz w:val="18"/>
              </w:rPr>
              <w:t>24 m²; 21 sections/day; 30 days/month; 8 scheduled hours/day</w:t>
            </w:r>
          </w:p>
        </w:tc>
      </w:tr>
      <w:tr>
        <w:trPr>
          <w:cantSplit/>
        </w:trPr>
        <w:tc>
          <w:tcPr>
            <w:tcW w:type="dxa" w:w="5018"/>
          </w:tcPr>
          <w:p>
            <w:pPr>
              <w:spacing w:after="60" w:before="40"/>
            </w:pPr>
            <w:r>
              <w:rPr>
                <w:b w:val="0"/>
                <w:sz w:val="18"/>
              </w:rPr>
              <w:t>Derived workload</w:t>
            </w:r>
          </w:p>
        </w:tc>
        <w:tc>
          <w:tcPr>
            <w:tcW w:type="dxa" w:w="5018"/>
          </w:tcPr>
          <w:p>
            <w:pPr>
              <w:spacing w:after="60" w:before="40"/>
            </w:pPr>
            <w:r>
              <w:rPr>
                <w:b w:val="0"/>
                <w:sz w:val="18"/>
              </w:rPr>
              <w:t>504 modelled m²/day; 630 sections/month; 15,120 modelled m²/month</w:t>
            </w:r>
          </w:p>
        </w:tc>
      </w:tr>
      <w:tr>
        <w:trPr>
          <w:cantSplit/>
        </w:trPr>
        <w:tc>
          <w:tcPr>
            <w:tcW w:type="dxa" w:w="5018"/>
          </w:tcPr>
          <w:p>
            <w:pPr>
              <w:spacing w:after="60" w:before="40"/>
            </w:pPr>
            <w:r>
              <w:rPr>
                <w:b w:val="0"/>
                <w:sz w:val="18"/>
              </w:rPr>
              <w:t>Manual baseline H₀</w:t>
            </w:r>
          </w:p>
        </w:tc>
        <w:tc>
          <w:tcPr>
            <w:tcW w:type="dxa" w:w="5018"/>
          </w:tcPr>
          <w:p>
            <w:pPr>
              <w:spacing w:after="60" w:before="40"/>
            </w:pPr>
            <w:r>
              <w:rPr>
                <w:b w:val="0"/>
                <w:sz w:val="18"/>
              </w:rPr>
              <w:t>120 person-hours/month for the specified workload</w:t>
            </w:r>
          </w:p>
        </w:tc>
      </w:tr>
      <w:tr>
        <w:trPr>
          <w:cantSplit/>
        </w:trPr>
        <w:tc>
          <w:tcPr>
            <w:tcW w:type="dxa" w:w="5018"/>
          </w:tcPr>
          <w:p>
            <w:pPr>
              <w:spacing w:after="60" w:before="40"/>
            </w:pPr>
            <w:r>
              <w:rPr>
                <w:b w:val="0"/>
                <w:sz w:val="18"/>
              </w:rPr>
              <w:t>Supervision fraction f</w:t>
            </w:r>
          </w:p>
        </w:tc>
        <w:tc>
          <w:tcPr>
            <w:tcW w:type="dxa" w:w="5018"/>
          </w:tcPr>
          <w:p>
            <w:pPr>
              <w:spacing w:after="60" w:before="40"/>
            </w:pPr>
            <w:r>
              <w:rPr>
                <w:b w:val="0"/>
                <w:sz w:val="18"/>
              </w:rPr>
              <w:t>0.20 of active attempt time</w:t>
            </w:r>
          </w:p>
        </w:tc>
      </w:tr>
      <w:tr>
        <w:trPr>
          <w:cantSplit/>
        </w:trPr>
        <w:tc>
          <w:tcPr>
            <w:tcW w:type="dxa" w:w="5018"/>
          </w:tcPr>
          <w:p>
            <w:pPr>
              <w:spacing w:after="60" w:before="40"/>
            </w:pPr>
            <w:r>
              <w:rPr>
                <w:b w:val="0"/>
                <w:sz w:val="18"/>
              </w:rPr>
              <w:t>Transfer to next section</w:t>
            </w:r>
          </w:p>
        </w:tc>
        <w:tc>
          <w:tcPr>
            <w:tcW w:type="dxa" w:w="5018"/>
          </w:tcPr>
          <w:p>
            <w:pPr>
              <w:spacing w:after="60" w:before="40"/>
            </w:pPr>
            <w:r>
              <w:rPr>
                <w:b w:val="0"/>
                <w:sz w:val="18"/>
              </w:rPr>
              <w:t>180 s/section, fully counted as human labour</w:t>
            </w:r>
          </w:p>
        </w:tc>
      </w:tr>
      <w:tr>
        <w:trPr>
          <w:cantSplit/>
        </w:trPr>
        <w:tc>
          <w:tcPr>
            <w:tcW w:type="dxa" w:w="5018"/>
          </w:tcPr>
          <w:p>
            <w:pPr>
              <w:spacing w:after="60" w:before="40"/>
            </w:pPr>
            <w:r>
              <w:rPr>
                <w:b w:val="0"/>
                <w:sz w:val="18"/>
              </w:rPr>
              <w:t>Recovery after a failed attempt</w:t>
            </w:r>
          </w:p>
        </w:tc>
        <w:tc>
          <w:tcPr>
            <w:tcW w:type="dxa" w:w="5018"/>
          </w:tcPr>
          <w:p>
            <w:pPr>
              <w:spacing w:after="60" w:before="40"/>
            </w:pPr>
            <w:r>
              <w:rPr>
                <w:b w:val="0"/>
                <w:sz w:val="18"/>
              </w:rPr>
              <w:t>180 s/failure, fully counted as human labour</w:t>
            </w:r>
          </w:p>
        </w:tc>
      </w:tr>
      <w:tr>
        <w:trPr>
          <w:cantSplit/>
        </w:trPr>
        <w:tc>
          <w:tcPr>
            <w:tcW w:type="dxa" w:w="5018"/>
          </w:tcPr>
          <w:p>
            <w:pPr>
              <w:spacing w:after="60" w:before="40"/>
            </w:pPr>
            <w:r>
              <w:rPr>
                <w:b w:val="0"/>
                <w:sz w:val="18"/>
              </w:rPr>
              <w:t>Maintenance</w:t>
            </w:r>
          </w:p>
        </w:tc>
        <w:tc>
          <w:tcPr>
            <w:tcW w:type="dxa" w:w="5018"/>
          </w:tcPr>
          <w:p>
            <w:pPr>
              <w:spacing w:after="60" w:before="40"/>
            </w:pPr>
            <w:r>
              <w:rPr>
                <w:b w:val="0"/>
                <w:sz w:val="18"/>
              </w:rPr>
              <w:t>10 person-hours/month</w:t>
            </w:r>
          </w:p>
        </w:tc>
      </w:tr>
      <w:tr>
        <w:trPr>
          <w:cantSplit/>
        </w:trPr>
        <w:tc>
          <w:tcPr>
            <w:tcW w:type="dxa" w:w="5018"/>
          </w:tcPr>
          <w:p>
            <w:pPr>
              <w:spacing w:after="60" w:before="40"/>
            </w:pPr>
            <w:r>
              <w:rPr>
                <w:b w:val="0"/>
                <w:sz w:val="18"/>
              </w:rPr>
              <w:t>Retries / queue</w:t>
            </w:r>
          </w:p>
        </w:tc>
        <w:tc>
          <w:tcPr>
            <w:tcW w:type="dxa" w:w="5018"/>
          </w:tcPr>
          <w:p>
            <w:pPr>
              <w:spacing w:after="60" w:before="40"/>
            </w:pPr>
            <w:r>
              <w:rPr>
                <w:b w:val="0"/>
                <w:sz w:val="18"/>
              </w:rPr>
              <w:t>Independent repeat attempts; one server; Poisson arrivals and exponential service assumed</w:t>
            </w:r>
          </w:p>
        </w:tc>
      </w:tr>
    </w:tbl>
    <w:p>
      <w:r>
        <w:rPr>
          <w:b w:val="0"/>
        </w:rPr>
        <w:t>The workload is a declared operating scenario, not a measured installation size or inferred 100 kWp plant. Modelled surface area is not certified cleaned area. Autonomous transfer between separate bays has not been demonstrated.</w:t>
      </w:r>
    </w:p>
    <w:p>
      <w:r>
        <w:br w:type="page"/>
      </w:r>
    </w:p>
    <w:p>
      <w:pPr>
        <w:pStyle w:val="Heading1"/>
      </w:pPr>
      <w:r>
        <w:t>3 · Cost and energy assumptions</w:t>
      </w:r>
    </w:p>
    <w:p>
      <w:r>
        <w:rPr>
          <w:b w:val="0"/>
        </w:rPr>
        <w:t>Let one year of manual baseline labour cost equal 1 cost unit. All costs below are dimensionless ratios or normalised coefficients, not currency amounts. Commercial inputs are assumptions; no supplier quote is represented as evidence.</w:t>
      </w:r>
    </w:p>
    <w:tbl>
      <w:tblPr>
        <w:tblStyle w:val="TableGrid"/>
        <w:tblW w:type="auto" w:w="0"/>
        <w:tblLook w:firstColumn="1" w:firstRow="1" w:lastColumn="0" w:lastRow="0" w:noHBand="0" w:noVBand="1" w:val="04A0"/>
      </w:tblPr>
      <w:tblGrid>
        <w:gridCol w:w="3346"/>
        <w:gridCol w:w="3346"/>
        <w:gridCol w:w="3346"/>
      </w:tblGrid>
      <w:tr>
        <w:trPr>
          <w:tblHeader/>
          <w:cantSplit/>
        </w:trPr>
        <w:tc>
          <w:tcPr>
            <w:tcW w:type="dxa" w:w="3346"/>
            <w:shd w:fill="E5EFF1"/>
          </w:tcPr>
          <w:p>
            <w:pPr>
              <w:spacing w:after="60" w:before="40"/>
            </w:pPr>
            <w:r>
              <w:rPr>
                <w:b/>
                <w:sz w:val="18"/>
              </w:rPr>
              <w:t>Input</w:t>
            </w:r>
          </w:p>
        </w:tc>
        <w:tc>
          <w:tcPr>
            <w:tcW w:type="dxa" w:w="3346"/>
            <w:shd w:fill="E5EFF1"/>
          </w:tcPr>
          <w:p>
            <w:pPr>
              <w:spacing w:after="60" w:before="40"/>
            </w:pPr>
            <w:r>
              <w:rPr>
                <w:b/>
                <w:sz w:val="18"/>
              </w:rPr>
              <w:t>Assumption / units</w:t>
            </w:r>
          </w:p>
        </w:tc>
        <w:tc>
          <w:tcPr>
            <w:tcW w:type="dxa" w:w="3346"/>
            <w:shd w:fill="E5EFF1"/>
          </w:tcPr>
          <w:p>
            <w:pPr>
              <w:spacing w:after="60" w:before="40"/>
            </w:pPr>
            <w:r>
              <w:rPr>
                <w:b/>
                <w:sz w:val="18"/>
              </w:rPr>
              <w:t>Where used</w:t>
            </w:r>
          </w:p>
        </w:tc>
      </w:tr>
      <w:tr>
        <w:trPr>
          <w:cantSplit/>
        </w:trPr>
        <w:tc>
          <w:tcPr>
            <w:tcW w:type="dxa" w:w="3346"/>
          </w:tcPr>
          <w:p>
            <w:pPr>
              <w:spacing w:after="60" w:before="40"/>
            </w:pPr>
            <w:r>
              <w:rPr>
                <w:b w:val="0"/>
                <w:sz w:val="18"/>
              </w:rPr>
              <w:t>Capital ratio k</w:t>
            </w:r>
          </w:p>
        </w:tc>
        <w:tc>
          <w:tcPr>
            <w:tcW w:type="dxa" w:w="3346"/>
          </w:tcPr>
          <w:p>
            <w:pPr>
              <w:spacing w:after="60" w:before="40"/>
            </w:pPr>
            <w:r>
              <w:rPr>
                <w:b w:val="0"/>
                <w:sz w:val="18"/>
              </w:rPr>
              <w:t>0.65 × one-year manual baseline cost</w:t>
            </w:r>
          </w:p>
        </w:tc>
        <w:tc>
          <w:tcPr>
            <w:tcW w:type="dxa" w:w="3346"/>
          </w:tcPr>
          <w:p>
            <w:pPr>
              <w:spacing w:after="60" w:before="40"/>
            </w:pPr>
            <w:r>
              <w:rPr>
                <w:b w:val="0"/>
                <w:sz w:val="18"/>
              </w:rPr>
              <w:t>Simple payback; separate from annual operating κ</w:t>
            </w:r>
          </w:p>
        </w:tc>
      </w:tr>
      <w:tr>
        <w:trPr>
          <w:cantSplit/>
        </w:trPr>
        <w:tc>
          <w:tcPr>
            <w:tcW w:type="dxa" w:w="3346"/>
          </w:tcPr>
          <w:p>
            <w:pPr>
              <w:spacing w:after="60" w:before="40"/>
            </w:pPr>
            <w:r>
              <w:rPr>
                <w:b w:val="0"/>
                <w:sz w:val="18"/>
              </w:rPr>
              <w:t>Equipment life L</w:t>
            </w:r>
          </w:p>
        </w:tc>
        <w:tc>
          <w:tcPr>
            <w:tcW w:type="dxa" w:w="3346"/>
          </w:tcPr>
          <w:p>
            <w:pPr>
              <w:spacing w:after="60" w:before="40"/>
            </w:pPr>
            <w:r>
              <w:rPr>
                <w:b w:val="0"/>
                <w:sz w:val="18"/>
              </w:rPr>
              <w:t>5 years</w:t>
            </w:r>
          </w:p>
        </w:tc>
        <w:tc>
          <w:tcPr>
            <w:tcW w:type="dxa" w:w="3346"/>
          </w:tcPr>
          <w:p>
            <w:pPr>
              <w:spacing w:after="60" w:before="40"/>
            </w:pPr>
            <w:r>
              <w:rPr>
                <w:b w:val="0"/>
                <w:sz w:val="18"/>
              </w:rPr>
              <w:t>Lifetime-normalised payback</w:t>
            </w:r>
          </w:p>
        </w:tc>
      </w:tr>
      <w:tr>
        <w:trPr>
          <w:cantSplit/>
        </w:trPr>
        <w:tc>
          <w:tcPr>
            <w:tcW w:type="dxa" w:w="3346"/>
          </w:tcPr>
          <w:p>
            <w:pPr>
              <w:spacing w:after="60" w:before="40"/>
            </w:pPr>
            <w:r>
              <w:rPr>
                <w:b w:val="0"/>
                <w:sz w:val="18"/>
              </w:rPr>
              <w:t>Battery / spares annual ratio</w:t>
            </w:r>
          </w:p>
        </w:tc>
        <w:tc>
          <w:tcPr>
            <w:tcW w:type="dxa" w:w="3346"/>
          </w:tcPr>
          <w:p>
            <w:pPr>
              <w:spacing w:after="60" w:before="40"/>
            </w:pPr>
            <w:r>
              <w:rPr>
                <w:b w:val="0"/>
                <w:sz w:val="18"/>
              </w:rPr>
              <w:t>0.05</w:t>
            </w:r>
          </w:p>
        </w:tc>
        <w:tc>
          <w:tcPr>
            <w:tcW w:type="dxa" w:w="3346"/>
          </w:tcPr>
          <w:p>
            <w:pPr>
              <w:spacing w:after="60" w:before="40"/>
            </w:pPr>
            <w:r>
              <w:rPr>
                <w:b w:val="0"/>
                <w:sz w:val="18"/>
              </w:rPr>
              <w:t>Annual operating-cost ratio</w:t>
            </w:r>
          </w:p>
        </w:tc>
      </w:tr>
      <w:tr>
        <w:trPr>
          <w:cantSplit/>
        </w:trPr>
        <w:tc>
          <w:tcPr>
            <w:tcW w:type="dxa" w:w="3346"/>
          </w:tcPr>
          <w:p>
            <w:pPr>
              <w:spacing w:after="60" w:before="40"/>
            </w:pPr>
            <w:r>
              <w:rPr>
                <w:b w:val="0"/>
                <w:sz w:val="18"/>
              </w:rPr>
              <w:t>Consumables annual ratio</w:t>
            </w:r>
          </w:p>
        </w:tc>
        <w:tc>
          <w:tcPr>
            <w:tcW w:type="dxa" w:w="3346"/>
          </w:tcPr>
          <w:p>
            <w:pPr>
              <w:spacing w:after="60" w:before="40"/>
            </w:pPr>
            <w:r>
              <w:rPr>
                <w:b w:val="0"/>
                <w:sz w:val="18"/>
              </w:rPr>
              <w:t>0.03</w:t>
            </w:r>
          </w:p>
        </w:tc>
        <w:tc>
          <w:tcPr>
            <w:tcW w:type="dxa" w:w="3346"/>
          </w:tcPr>
          <w:p>
            <w:pPr>
              <w:spacing w:after="60" w:before="40"/>
            </w:pPr>
            <w:r>
              <w:rPr>
                <w:b w:val="0"/>
                <w:sz w:val="18"/>
              </w:rPr>
              <w:t>Annual operating-cost ratio</w:t>
            </w:r>
          </w:p>
        </w:tc>
      </w:tr>
      <w:tr>
        <w:trPr>
          <w:cantSplit/>
        </w:trPr>
        <w:tc>
          <w:tcPr>
            <w:tcW w:type="dxa" w:w="3346"/>
          </w:tcPr>
          <w:p>
            <w:pPr>
              <w:spacing w:after="60" w:before="40"/>
            </w:pPr>
            <w:r>
              <w:rPr>
                <w:b w:val="0"/>
                <w:sz w:val="18"/>
              </w:rPr>
              <w:t>Electricity coefficient α</w:t>
            </w:r>
          </w:p>
        </w:tc>
        <w:tc>
          <w:tcPr>
            <w:tcW w:type="dxa" w:w="3346"/>
          </w:tcPr>
          <w:p>
            <w:pPr>
              <w:spacing w:after="60" w:before="40"/>
            </w:pPr>
            <w:r>
              <w:rPr>
                <w:b w:val="0"/>
                <w:sz w:val="18"/>
              </w:rPr>
              <w:t>0.0003 baseline cost units/kWh</w:t>
            </w:r>
          </w:p>
        </w:tc>
        <w:tc>
          <w:tcPr>
            <w:tcW w:type="dxa" w:w="3346"/>
          </w:tcPr>
          <w:p>
            <w:pPr>
              <w:spacing w:after="60" w:before="40"/>
            </w:pPr>
            <w:r>
              <w:rPr>
                <w:b w:val="0"/>
                <w:sz w:val="18"/>
              </w:rPr>
              <w:t>Annual estimated energy × α</w:t>
            </w:r>
          </w:p>
        </w:tc>
      </w:tr>
      <w:tr>
        <w:trPr>
          <w:cantSplit/>
        </w:trPr>
        <w:tc>
          <w:tcPr>
            <w:tcW w:type="dxa" w:w="3346"/>
          </w:tcPr>
          <w:p>
            <w:pPr>
              <w:spacing w:after="60" w:before="40"/>
            </w:pPr>
            <w:r>
              <w:rPr>
                <w:b w:val="0"/>
                <w:sz w:val="18"/>
              </w:rPr>
              <w:t>Electromechanical efficiency η</w:t>
            </w:r>
          </w:p>
        </w:tc>
        <w:tc>
          <w:tcPr>
            <w:tcW w:type="dxa" w:w="3346"/>
          </w:tcPr>
          <w:p>
            <w:pPr>
              <w:spacing w:after="60" w:before="40"/>
            </w:pPr>
            <w:r>
              <w:rPr>
                <w:b w:val="0"/>
                <w:sz w:val="18"/>
              </w:rPr>
              <w:t>0.60</w:t>
            </w:r>
          </w:p>
        </w:tc>
        <w:tc>
          <w:tcPr>
            <w:tcW w:type="dxa" w:w="3346"/>
          </w:tcPr>
          <w:p>
            <w:pPr>
              <w:spacing w:after="60" w:before="40"/>
            </w:pPr>
            <w:r>
              <w:rPr>
                <w:b w:val="0"/>
                <w:sz w:val="18"/>
              </w:rPr>
              <w:t>Convert positive simulated actuator work to an estimate</w:t>
            </w:r>
          </w:p>
        </w:tc>
      </w:tr>
      <w:tr>
        <w:trPr>
          <w:cantSplit/>
        </w:trPr>
        <w:tc>
          <w:tcPr>
            <w:tcW w:type="dxa" w:w="3346"/>
          </w:tcPr>
          <w:p>
            <w:pPr>
              <w:spacing w:after="60" w:before="40"/>
            </w:pPr>
            <w:r>
              <w:rPr>
                <w:b w:val="0"/>
                <w:sz w:val="18"/>
              </w:rPr>
              <w:t>Robot electronics</w:t>
            </w:r>
          </w:p>
        </w:tc>
        <w:tc>
          <w:tcPr>
            <w:tcW w:type="dxa" w:w="3346"/>
          </w:tcPr>
          <w:p>
            <w:pPr>
              <w:spacing w:after="60" w:before="40"/>
            </w:pPr>
            <w:r>
              <w:rPr>
                <w:b w:val="0"/>
                <w:sz w:val="18"/>
              </w:rPr>
              <w:t>5 W</w:t>
            </w:r>
          </w:p>
        </w:tc>
        <w:tc>
          <w:tcPr>
            <w:tcW w:type="dxa" w:w="3346"/>
          </w:tcPr>
          <w:p>
            <w:pPr>
              <w:spacing w:after="60" w:before="40"/>
            </w:pPr>
            <w:r>
              <w:rPr>
                <w:b w:val="0"/>
                <w:sz w:val="18"/>
              </w:rPr>
              <w:t>Attempts, recovery and transfer</w:t>
            </w:r>
          </w:p>
        </w:tc>
      </w:tr>
      <w:tr>
        <w:trPr>
          <w:cantSplit/>
        </w:trPr>
        <w:tc>
          <w:tcPr>
            <w:tcW w:type="dxa" w:w="3346"/>
          </w:tcPr>
          <w:p>
            <w:pPr>
              <w:spacing w:after="60" w:before="40"/>
            </w:pPr>
            <w:r>
              <w:rPr>
                <w:b w:val="0"/>
                <w:sz w:val="18"/>
              </w:rPr>
              <w:t>Panel cameras</w:t>
            </w:r>
          </w:p>
        </w:tc>
        <w:tc>
          <w:tcPr>
            <w:tcW w:type="dxa" w:w="3346"/>
          </w:tcPr>
          <w:p>
            <w:pPr>
              <w:spacing w:after="60" w:before="40"/>
            </w:pPr>
            <w:r>
              <w:rPr>
                <w:b w:val="0"/>
                <w:sz w:val="18"/>
              </w:rPr>
              <w:t>2 cameras × 3 W each</w:t>
            </w:r>
          </w:p>
        </w:tc>
        <w:tc>
          <w:tcPr>
            <w:tcW w:type="dxa" w:w="3346"/>
          </w:tcPr>
          <w:p>
            <w:pPr>
              <w:spacing w:after="60" w:before="40"/>
            </w:pPr>
            <w:r>
              <w:rPr>
                <w:b w:val="0"/>
                <w:sz w:val="18"/>
              </w:rPr>
              <w:t>8 scheduled hours/day</w:t>
            </w:r>
          </w:p>
        </w:tc>
      </w:tr>
      <w:tr>
        <w:trPr>
          <w:cantSplit/>
        </w:trPr>
        <w:tc>
          <w:tcPr>
            <w:tcW w:type="dxa" w:w="3346"/>
          </w:tcPr>
          <w:p>
            <w:pPr>
              <w:spacing w:after="60" w:before="40"/>
            </w:pPr>
            <w:r>
              <w:rPr>
                <w:b w:val="0"/>
                <w:sz w:val="18"/>
              </w:rPr>
              <w:t>Blower</w:t>
            </w:r>
          </w:p>
        </w:tc>
        <w:tc>
          <w:tcPr>
            <w:tcW w:type="dxa" w:w="3346"/>
          </w:tcPr>
          <w:p>
            <w:pPr>
              <w:spacing w:after="60" w:before="40"/>
            </w:pPr>
            <w:r>
              <w:rPr>
                <w:b w:val="0"/>
                <w:sz w:val="18"/>
              </w:rPr>
              <w:t>20 W during modelled blower activity</w:t>
            </w:r>
          </w:p>
        </w:tc>
        <w:tc>
          <w:tcPr>
            <w:tcW w:type="dxa" w:w="3346"/>
          </w:tcPr>
          <w:p>
            <w:pPr>
              <w:spacing w:after="60" w:before="40"/>
            </w:pPr>
            <w:r>
              <w:rPr>
                <w:b w:val="0"/>
                <w:sz w:val="18"/>
              </w:rPr>
              <w:t>Already included in modelled blower energy</w:t>
            </w:r>
          </w:p>
        </w:tc>
      </w:tr>
      <w:tr>
        <w:trPr>
          <w:cantSplit/>
        </w:trPr>
        <w:tc>
          <w:tcPr>
            <w:tcW w:type="dxa" w:w="3346"/>
          </w:tcPr>
          <w:p>
            <w:pPr>
              <w:spacing w:after="60" w:before="40"/>
            </w:pPr>
            <w:r>
              <w:rPr>
                <w:b w:val="0"/>
                <w:sz w:val="18"/>
              </w:rPr>
              <w:t>Human fractions</w:t>
            </w:r>
          </w:p>
        </w:tc>
        <w:tc>
          <w:tcPr>
            <w:tcW w:type="dxa" w:w="3346"/>
          </w:tcPr>
          <w:p>
            <w:pPr>
              <w:spacing w:after="60" w:before="40"/>
            </w:pPr>
            <w:r>
              <w:rPr>
                <w:b w:val="0"/>
                <w:sz w:val="18"/>
              </w:rPr>
              <w:t>Transfer = 1; failure recovery = 1</w:t>
            </w:r>
          </w:p>
        </w:tc>
        <w:tc>
          <w:tcPr>
            <w:tcW w:type="dxa" w:w="3346"/>
          </w:tcPr>
          <w:p>
            <w:pPr>
              <w:spacing w:after="60" w:before="40"/>
            </w:pPr>
            <w:r>
              <w:rPr>
                <w:b w:val="0"/>
                <w:sz w:val="18"/>
              </w:rPr>
              <w:t>No free inter-bay transfer or recovery labour</w:t>
            </w:r>
          </w:p>
        </w:tc>
      </w:tr>
    </w:tbl>
    <w:p>
      <w:pPr>
        <w:pStyle w:val="Heading2"/>
      </w:pPr>
      <w:r>
        <w:t>Scope of the financial comparison</w:t>
      </w:r>
    </w:p>
    <w:p>
      <w:r>
        <w:rPr>
          <w:b w:val="0"/>
        </w:rPr>
        <w:t>κ compares recurring annual operations against one annual manual baseline. It does not include annualised capital expenditure. Capital is evaluated separately in the simple-payback equation. This avoids counting the same capital expense twice.</w:t>
      </w:r>
    </w:p>
    <w:p>
      <w:r>
        <w:rPr>
          <w:b w:val="0"/>
        </w:rPr>
        <w:t>The model includes an assumed efficiency and auxiliary loads, but does not resolve motor-controller losses, battery ageing, standby demand or actual charging efficiency in hardware. Electrical figures are estimates. Dock energy credit in the simulation is not evidence of a full battery recharge.</w:t>
      </w:r>
    </w:p>
    <w:p>
      <w:pPr>
        <w:pStyle w:val="Heading2"/>
      </w:pPr>
      <w:r>
        <w:t>Benefits deliberately not monetised</w:t>
      </w:r>
    </w:p>
    <w:p>
      <w:r>
        <w:rPr>
          <w:b w:val="0"/>
        </w:rPr>
        <w:t>PV electrical-yield recovery, measured water savings, coating life, quantified safety benefits and avoided downtime are not monetised. The cleaning model tracks contamination and contact, not PV power generation. No currency-based selling price, bill of materials or verified commercial profit is claimed.</w:t>
      </w:r>
    </w:p>
    <w:p>
      <w:r>
        <w:br w:type="page"/>
      </w:r>
    </w:p>
    <w:p>
      <w:pPr>
        <w:pStyle w:val="Heading1"/>
      </w:pPr>
      <w:r>
        <w:t>4 · Calculation model and labour</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Quantity</w:t>
            </w:r>
          </w:p>
        </w:tc>
        <w:tc>
          <w:tcPr>
            <w:tcW w:type="dxa" w:w="5018"/>
            <w:shd w:fill="E5EFF1"/>
          </w:tcPr>
          <w:p>
            <w:pPr>
              <w:spacing w:after="60" w:before="40"/>
            </w:pPr>
            <w:r>
              <w:rPr>
                <w:b/>
                <w:sz w:val="18"/>
              </w:rPr>
              <w:t>Equation / definition</w:t>
            </w:r>
          </w:p>
        </w:tc>
      </w:tr>
      <w:tr>
        <w:trPr>
          <w:cantSplit/>
        </w:trPr>
        <w:tc>
          <w:tcPr>
            <w:tcW w:type="dxa" w:w="5018"/>
          </w:tcPr>
          <w:p>
            <w:pPr>
              <w:spacing w:after="60" w:before="40"/>
            </w:pPr>
            <w:r>
              <w:rPr>
                <w:b w:val="0"/>
                <w:sz w:val="18"/>
              </w:rPr>
              <w:t>Monthly completed workload</w:t>
            </w:r>
          </w:p>
        </w:tc>
        <w:tc>
          <w:tcPr>
            <w:tcW w:type="dxa" w:w="5018"/>
          </w:tcPr>
          <w:p>
            <w:pPr>
              <w:spacing w:after="60" w:before="40"/>
            </w:pPr>
            <w:r>
              <w:rPr>
                <w:b w:val="0"/>
                <w:sz w:val="18"/>
              </w:rPr>
              <w:t>n = sections/day × operating days/month = 630</w:t>
            </w:r>
          </w:p>
        </w:tc>
      </w:tr>
      <w:tr>
        <w:trPr>
          <w:cantSplit/>
        </w:trPr>
        <w:tc>
          <w:tcPr>
            <w:tcW w:type="dxa" w:w="5018"/>
          </w:tcPr>
          <w:p>
            <w:pPr>
              <w:spacing w:after="60" w:before="40"/>
            </w:pPr>
            <w:r>
              <w:rPr>
                <w:b w:val="0"/>
                <w:sz w:val="18"/>
              </w:rPr>
              <w:t>Expected recovery per success</w:t>
            </w:r>
          </w:p>
        </w:tc>
        <w:tc>
          <w:tcPr>
            <w:tcW w:type="dxa" w:w="5018"/>
          </w:tcPr>
          <w:p>
            <w:pPr>
              <w:spacing w:after="60" w:before="40"/>
            </w:pPr>
            <w:r>
              <w:rPr>
                <w:b w:val="0"/>
                <w:sz w:val="18"/>
              </w:rPr>
              <w:t>R = (1 − p) × tᵣ / p</w:t>
            </w:r>
          </w:p>
        </w:tc>
      </w:tr>
      <w:tr>
        <w:trPr>
          <w:cantSplit/>
        </w:trPr>
        <w:tc>
          <w:tcPr>
            <w:tcW w:type="dxa" w:w="5018"/>
          </w:tcPr>
          <w:p>
            <w:pPr>
              <w:spacing w:after="60" w:before="40"/>
            </w:pPr>
            <w:r>
              <w:rPr>
                <w:b w:val="0"/>
                <w:sz w:val="18"/>
              </w:rPr>
              <w:t>Time per successful service</w:t>
            </w:r>
          </w:p>
        </w:tc>
        <w:tc>
          <w:tcPr>
            <w:tcW w:type="dxa" w:w="5018"/>
          </w:tcPr>
          <w:p>
            <w:pPr>
              <w:spacing w:after="60" w:before="40"/>
            </w:pPr>
            <w:r>
              <w:rPr>
                <w:b w:val="0"/>
                <w:sz w:val="18"/>
              </w:rPr>
              <w:t>Tₛ = Tₐ / p + R + tₜ; tₜ is transfer time</w:t>
            </w:r>
          </w:p>
        </w:tc>
      </w:tr>
      <w:tr>
        <w:trPr>
          <w:cantSplit/>
        </w:trPr>
        <w:tc>
          <w:tcPr>
            <w:tcW w:type="dxa" w:w="5018"/>
          </w:tcPr>
          <w:p>
            <w:pPr>
              <w:spacing w:after="60" w:before="40"/>
            </w:pPr>
            <w:r>
              <w:rPr>
                <w:b w:val="0"/>
                <w:sz w:val="18"/>
              </w:rPr>
              <w:t>Active attempt hours/month</w:t>
            </w:r>
          </w:p>
        </w:tc>
        <w:tc>
          <w:tcPr>
            <w:tcW w:type="dxa" w:w="5018"/>
          </w:tcPr>
          <w:p>
            <w:pPr>
              <w:spacing w:after="60" w:before="40"/>
            </w:pPr>
            <w:r>
              <w:rPr>
                <w:b w:val="0"/>
                <w:sz w:val="18"/>
              </w:rPr>
              <w:t>Hₐ = n × Tₐ / (3600p)</w:t>
            </w:r>
          </w:p>
        </w:tc>
      </w:tr>
      <w:tr>
        <w:trPr>
          <w:cantSplit/>
        </w:trPr>
        <w:tc>
          <w:tcPr>
            <w:tcW w:type="dxa" w:w="5018"/>
          </w:tcPr>
          <w:p>
            <w:pPr>
              <w:spacing w:after="60" w:before="40"/>
            </w:pPr>
            <w:r>
              <w:rPr>
                <w:b w:val="0"/>
                <w:sz w:val="18"/>
              </w:rPr>
              <w:t>Supervision hours</w:t>
            </w:r>
          </w:p>
        </w:tc>
        <w:tc>
          <w:tcPr>
            <w:tcW w:type="dxa" w:w="5018"/>
          </w:tcPr>
          <w:p>
            <w:pPr>
              <w:spacing w:after="60" w:before="40"/>
            </w:pPr>
            <w:r>
              <w:rPr>
                <w:b w:val="0"/>
                <w:sz w:val="18"/>
              </w:rPr>
              <w:t>Hsupervision = f × Hₐ</w:t>
            </w:r>
          </w:p>
        </w:tc>
      </w:tr>
      <w:tr>
        <w:trPr>
          <w:cantSplit/>
        </w:trPr>
        <w:tc>
          <w:tcPr>
            <w:tcW w:type="dxa" w:w="5018"/>
          </w:tcPr>
          <w:p>
            <w:pPr>
              <w:spacing w:after="60" w:before="40"/>
            </w:pPr>
            <w:r>
              <w:rPr>
                <w:b w:val="0"/>
                <w:sz w:val="18"/>
              </w:rPr>
              <w:t>Transfer / recovery hours</w:t>
            </w:r>
          </w:p>
        </w:tc>
        <w:tc>
          <w:tcPr>
            <w:tcW w:type="dxa" w:w="5018"/>
          </w:tcPr>
          <w:p>
            <w:pPr>
              <w:spacing w:after="60" w:before="40"/>
            </w:pPr>
            <w:r>
              <w:rPr>
                <w:b w:val="0"/>
                <w:sz w:val="18"/>
              </w:rPr>
              <w:t>Htransfer = n × (tₜ × hₜ + R × hᵣ) / 3600</w:t>
            </w:r>
          </w:p>
        </w:tc>
      </w:tr>
      <w:tr>
        <w:trPr>
          <w:cantSplit/>
        </w:trPr>
        <w:tc>
          <w:tcPr>
            <w:tcW w:type="dxa" w:w="5018"/>
          </w:tcPr>
          <w:p>
            <w:pPr>
              <w:spacing w:after="60" w:before="40"/>
            </w:pPr>
            <w:r>
              <w:rPr>
                <w:b w:val="0"/>
                <w:sz w:val="18"/>
              </w:rPr>
              <w:t>Total human effort</w:t>
            </w:r>
          </w:p>
        </w:tc>
        <w:tc>
          <w:tcPr>
            <w:tcW w:type="dxa" w:w="5018"/>
          </w:tcPr>
          <w:p>
            <w:pPr>
              <w:spacing w:after="60" w:before="40"/>
            </w:pPr>
            <w:r>
              <w:rPr>
                <w:b w:val="0"/>
                <w:sz w:val="18"/>
              </w:rPr>
              <w:t>Hrobot = Hsupervision + Htransfer + Hmaintenance</w:t>
            </w:r>
          </w:p>
        </w:tc>
      </w:tr>
      <w:tr>
        <w:trPr>
          <w:cantSplit/>
        </w:trPr>
        <w:tc>
          <w:tcPr>
            <w:tcW w:type="dxa" w:w="5018"/>
          </w:tcPr>
          <w:p>
            <w:pPr>
              <w:spacing w:after="60" w:before="40"/>
            </w:pPr>
            <w:r>
              <w:rPr>
                <w:b w:val="0"/>
                <w:sz w:val="18"/>
              </w:rPr>
              <w:t>Reclaimed effort</w:t>
            </w:r>
          </w:p>
        </w:tc>
        <w:tc>
          <w:tcPr>
            <w:tcW w:type="dxa" w:w="5018"/>
          </w:tcPr>
          <w:p>
            <w:pPr>
              <w:spacing w:after="60" w:before="40"/>
            </w:pPr>
            <w:r>
              <w:rPr>
                <w:b w:val="0"/>
                <w:sz w:val="18"/>
              </w:rPr>
              <w:t>Hreclaimed = H₀ − Hrobot</w:t>
            </w:r>
          </w:p>
        </w:tc>
      </w:tr>
    </w:tbl>
    <w:p>
      <w:r>
        <w:rPr>
          <w:b w:val="0"/>
        </w:rPr>
        <w:t>p is the selected observed success fraction; hₜ and hᵣ are the human fractions of transfer/recovery (both 1 in the base case). Repeated attempts are a business assumption; they do not create a demonstrated autonomous recovery capability.</w:t>
      </w:r>
    </w:p>
    <w:p>
      <w:pPr>
        <w:pStyle w:val="Heading2"/>
      </w:pPr>
      <w:r>
        <w:t>Worked base case</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Step</w:t>
            </w:r>
          </w:p>
        </w:tc>
        <w:tc>
          <w:tcPr>
            <w:tcW w:type="dxa" w:w="5018"/>
            <w:shd w:fill="E5EFF1"/>
          </w:tcPr>
          <w:p>
            <w:pPr>
              <w:spacing w:after="60" w:before="40"/>
            </w:pPr>
            <w:r>
              <w:rPr>
                <w:b/>
                <w:sz w:val="18"/>
              </w:rPr>
              <w:t>Calculated value</w:t>
            </w:r>
          </w:p>
        </w:tc>
      </w:tr>
      <w:tr>
        <w:trPr>
          <w:cantSplit/>
        </w:trPr>
        <w:tc>
          <w:tcPr>
            <w:tcW w:type="dxa" w:w="5018"/>
          </w:tcPr>
          <w:p>
            <w:pPr>
              <w:spacing w:after="60" w:before="40"/>
            </w:pPr>
            <w:r>
              <w:rPr>
                <w:b w:val="0"/>
                <w:sz w:val="18"/>
              </w:rPr>
              <w:t>Attempt hours</w:t>
            </w:r>
          </w:p>
        </w:tc>
        <w:tc>
          <w:tcPr>
            <w:tcW w:type="dxa" w:w="5018"/>
          </w:tcPr>
          <w:p>
            <w:pPr>
              <w:spacing w:after="60" w:before="40"/>
            </w:pPr>
            <w:r>
              <w:rPr>
                <w:b w:val="0"/>
                <w:sz w:val="18"/>
              </w:rPr>
              <w:t>630 × 612.712933 / 3600 = 107.224763 h/month</w:t>
            </w:r>
          </w:p>
        </w:tc>
      </w:tr>
      <w:tr>
        <w:trPr>
          <w:cantSplit/>
        </w:trPr>
        <w:tc>
          <w:tcPr>
            <w:tcW w:type="dxa" w:w="5018"/>
          </w:tcPr>
          <w:p>
            <w:pPr>
              <w:spacing w:after="60" w:before="40"/>
            </w:pPr>
            <w:r>
              <w:rPr>
                <w:b w:val="0"/>
                <w:sz w:val="18"/>
              </w:rPr>
              <w:t>Monitoring</w:t>
            </w:r>
          </w:p>
        </w:tc>
        <w:tc>
          <w:tcPr>
            <w:tcW w:type="dxa" w:w="5018"/>
          </w:tcPr>
          <w:p>
            <w:pPr>
              <w:spacing w:after="60" w:before="40"/>
            </w:pPr>
            <w:r>
              <w:rPr>
                <w:b w:val="0"/>
                <w:sz w:val="18"/>
              </w:rPr>
              <w:t>0.20 × attempt hours = 21.444953 person-h/month</w:t>
            </w:r>
          </w:p>
        </w:tc>
      </w:tr>
      <w:tr>
        <w:trPr>
          <w:cantSplit/>
        </w:trPr>
        <w:tc>
          <w:tcPr>
            <w:tcW w:type="dxa" w:w="5018"/>
          </w:tcPr>
          <w:p>
            <w:pPr>
              <w:spacing w:after="60" w:before="40"/>
            </w:pPr>
            <w:r>
              <w:rPr>
                <w:b w:val="0"/>
                <w:sz w:val="18"/>
              </w:rPr>
              <w:t>Transfer / recovery</w:t>
            </w:r>
          </w:p>
        </w:tc>
        <w:tc>
          <w:tcPr>
            <w:tcW w:type="dxa" w:w="5018"/>
          </w:tcPr>
          <w:p>
            <w:pPr>
              <w:spacing w:after="60" w:before="40"/>
            </w:pPr>
            <w:r>
              <w:rPr>
                <w:b w:val="0"/>
                <w:sz w:val="18"/>
              </w:rPr>
              <w:t>630 × 180 / 3600 = 31.500000 person-h/month (p = 1)</w:t>
            </w:r>
          </w:p>
        </w:tc>
      </w:tr>
      <w:tr>
        <w:trPr>
          <w:cantSplit/>
        </w:trPr>
        <w:tc>
          <w:tcPr>
            <w:tcW w:type="dxa" w:w="5018"/>
          </w:tcPr>
          <w:p>
            <w:pPr>
              <w:spacing w:after="60" w:before="40"/>
            </w:pPr>
            <w:r>
              <w:rPr>
                <w:b w:val="0"/>
                <w:sz w:val="18"/>
              </w:rPr>
              <w:t>Maintenance</w:t>
            </w:r>
          </w:p>
        </w:tc>
        <w:tc>
          <w:tcPr>
            <w:tcW w:type="dxa" w:w="5018"/>
          </w:tcPr>
          <w:p>
            <w:pPr>
              <w:spacing w:after="60" w:before="40"/>
            </w:pPr>
            <w:r>
              <w:rPr>
                <w:b w:val="0"/>
                <w:sz w:val="18"/>
              </w:rPr>
              <w:t>10.000000 person-h/month</w:t>
            </w:r>
          </w:p>
        </w:tc>
      </w:tr>
      <w:tr>
        <w:trPr>
          <w:cantSplit/>
        </w:trPr>
        <w:tc>
          <w:tcPr>
            <w:tcW w:type="dxa" w:w="5018"/>
          </w:tcPr>
          <w:p>
            <w:pPr>
              <w:spacing w:after="60" w:before="40"/>
            </w:pPr>
            <w:r>
              <w:rPr>
                <w:b w:val="0"/>
                <w:sz w:val="18"/>
              </w:rPr>
              <w:t>Human effort with robot</w:t>
            </w:r>
          </w:p>
        </w:tc>
        <w:tc>
          <w:tcPr>
            <w:tcW w:type="dxa" w:w="5018"/>
          </w:tcPr>
          <w:p>
            <w:pPr>
              <w:spacing w:after="60" w:before="40"/>
            </w:pPr>
            <w:r>
              <w:rPr>
                <w:b w:val="0"/>
                <w:sz w:val="18"/>
              </w:rPr>
              <w:t>62.944953 person-h/month</w:t>
            </w:r>
          </w:p>
        </w:tc>
      </w:tr>
      <w:tr>
        <w:trPr>
          <w:cantSplit/>
        </w:trPr>
        <w:tc>
          <w:tcPr>
            <w:tcW w:type="dxa" w:w="5018"/>
          </w:tcPr>
          <w:p>
            <w:pPr>
              <w:spacing w:after="60" w:before="40"/>
            </w:pPr>
            <w:r>
              <w:rPr>
                <w:b w:val="0"/>
                <w:sz w:val="18"/>
              </w:rPr>
              <w:t>Reclaimed effort</w:t>
            </w:r>
          </w:p>
        </w:tc>
        <w:tc>
          <w:tcPr>
            <w:tcW w:type="dxa" w:w="5018"/>
          </w:tcPr>
          <w:p>
            <w:pPr>
              <w:spacing w:after="60" w:before="40"/>
            </w:pPr>
            <w:r>
              <w:rPr>
                <w:b w:val="0"/>
                <w:sz w:val="18"/>
              </w:rPr>
              <w:t>120 − 62.944953 = 57.055047 person-h/month</w:t>
            </w:r>
          </w:p>
        </w:tc>
      </w:tr>
    </w:tbl>
    <w:p>
      <w:r>
        <w:rPr>
          <w:b w:val="0"/>
        </w:rPr>
        <w:t>Reclaimed time is a scenario opportunity to reallocate labour; it is not a measured reduction in headcount. The model counts all transfer labour even when the robot needs no active supervision.</w:t>
      </w:r>
    </w:p>
    <w:p>
      <w:r>
        <w:br w:type="page"/>
      </w:r>
    </w:p>
    <w:p>
      <w:pPr>
        <w:pStyle w:val="Heading1"/>
      </w:pPr>
      <w:r>
        <w:t>5 · Energy, operating cost and payback</w:t>
      </w:r>
    </w:p>
    <w:p>
      <w:r>
        <w:rPr>
          <w:b w:val="0"/>
        </w:rPr>
        <w:t>Attempt energy estimate: Eₐ = (Wpositive/η + Eblower + Pelectronics × Tₐ) / 3600, in Wh. Per-success robot energy adds retries and electronics during recovery/transfer: Erobot = Eₐ/p + Pelectronics × (R + tₜ)/3600.</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Energy estimate</w:t>
            </w:r>
          </w:p>
        </w:tc>
        <w:tc>
          <w:tcPr>
            <w:tcW w:type="dxa" w:w="5018"/>
            <w:shd w:fill="E5EFF1"/>
          </w:tcPr>
          <w:p>
            <w:pPr>
              <w:spacing w:after="60" w:before="40"/>
            </w:pPr>
            <w:r>
              <w:rPr>
                <w:b/>
                <w:sz w:val="18"/>
              </w:rPr>
              <w:t>Calculated value</w:t>
            </w:r>
          </w:p>
        </w:tc>
      </w:tr>
      <w:tr>
        <w:trPr>
          <w:cantSplit/>
        </w:trPr>
        <w:tc>
          <w:tcPr>
            <w:tcW w:type="dxa" w:w="5018"/>
          </w:tcPr>
          <w:p>
            <w:pPr>
              <w:spacing w:after="60" w:before="40"/>
            </w:pPr>
            <w:r>
              <w:rPr>
                <w:b w:val="0"/>
                <w:sz w:val="18"/>
              </w:rPr>
              <w:t>Robot energy / successful section</w:t>
            </w:r>
          </w:p>
        </w:tc>
        <w:tc>
          <w:tcPr>
            <w:tcW w:type="dxa" w:w="5018"/>
          </w:tcPr>
          <w:p>
            <w:pPr>
              <w:spacing w:after="60" w:before="40"/>
            </w:pPr>
            <w:r>
              <w:rPr>
                <w:b w:val="0"/>
                <w:sz w:val="18"/>
              </w:rPr>
              <w:t>4.497548 Wh</w:t>
            </w:r>
          </w:p>
        </w:tc>
      </w:tr>
      <w:tr>
        <w:trPr>
          <w:cantSplit/>
        </w:trPr>
        <w:tc>
          <w:tcPr>
            <w:tcW w:type="dxa" w:w="5018"/>
          </w:tcPr>
          <w:p>
            <w:pPr>
              <w:spacing w:after="60" w:before="40"/>
            </w:pPr>
            <w:r>
              <w:rPr>
                <w:b w:val="0"/>
                <w:sz w:val="18"/>
              </w:rPr>
              <w:t>Robot energy / modelled m²</w:t>
            </w:r>
          </w:p>
        </w:tc>
        <w:tc>
          <w:tcPr>
            <w:tcW w:type="dxa" w:w="5018"/>
          </w:tcPr>
          <w:p>
            <w:pPr>
              <w:spacing w:after="60" w:before="40"/>
            </w:pPr>
            <w:r>
              <w:rPr>
                <w:b w:val="0"/>
                <w:sz w:val="18"/>
              </w:rPr>
              <w:t>0.187398 Wh/m²; excludes external cameras</w:t>
            </w:r>
          </w:p>
        </w:tc>
      </w:tr>
      <w:tr>
        <w:trPr>
          <w:cantSplit/>
        </w:trPr>
        <w:tc>
          <w:tcPr>
            <w:tcW w:type="dxa" w:w="5018"/>
          </w:tcPr>
          <w:p>
            <w:pPr>
              <w:spacing w:after="60" w:before="40"/>
            </w:pPr>
            <w:r>
              <w:rPr>
                <w:b w:val="0"/>
                <w:sz w:val="18"/>
              </w:rPr>
              <w:t>Annual robot / external cameras</w:t>
            </w:r>
          </w:p>
        </w:tc>
        <w:tc>
          <w:tcPr>
            <w:tcW w:type="dxa" w:w="5018"/>
          </w:tcPr>
          <w:p>
            <w:pPr>
              <w:spacing w:after="60" w:before="40"/>
            </w:pPr>
            <w:r>
              <w:rPr>
                <w:b w:val="0"/>
                <w:sz w:val="18"/>
              </w:rPr>
              <w:t>34.001463 / 17.280000 kWh/year</w:t>
            </w:r>
          </w:p>
        </w:tc>
      </w:tr>
      <w:tr>
        <w:trPr>
          <w:cantSplit/>
        </w:trPr>
        <w:tc>
          <w:tcPr>
            <w:tcW w:type="dxa" w:w="5018"/>
          </w:tcPr>
          <w:p>
            <w:pPr>
              <w:spacing w:after="60" w:before="40"/>
            </w:pPr>
            <w:r>
              <w:rPr>
                <w:b w:val="0"/>
                <w:sz w:val="18"/>
              </w:rPr>
              <w:t>Annual system estimate</w:t>
            </w:r>
          </w:p>
        </w:tc>
        <w:tc>
          <w:tcPr>
            <w:tcW w:type="dxa" w:w="5018"/>
          </w:tcPr>
          <w:p>
            <w:pPr>
              <w:spacing w:after="60" w:before="40"/>
            </w:pPr>
            <w:r>
              <w:rPr>
                <w:b w:val="0"/>
                <w:sz w:val="18"/>
              </w:rPr>
              <w:t>51.281463 kWh/year</w:t>
            </w:r>
          </w:p>
        </w:tc>
      </w:tr>
    </w:tbl>
    <w:p>
      <w:pPr>
        <w:pStyle w:val="Heading2"/>
      </w:pPr>
      <w:r>
        <w:t>Normalised annual operating-cost bridge</w:t>
      </w:r>
    </w:p>
    <w:p>
      <w:r>
        <w:rPr>
          <w:b w:val="0"/>
        </w:rPr>
        <w:t>κ = Hrobot/H₀ + Eannual × α + cspares + cconsumables. Capital is evaluated separately in payback.</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Cost component</w:t>
            </w:r>
          </w:p>
        </w:tc>
        <w:tc>
          <w:tcPr>
            <w:tcW w:type="dxa" w:w="5018"/>
            <w:shd w:fill="E5EFF1"/>
          </w:tcPr>
          <w:p>
            <w:pPr>
              <w:spacing w:after="60" w:before="40"/>
            </w:pPr>
            <w:r>
              <w:rPr>
                <w:b/>
                <w:sz w:val="18"/>
              </w:rPr>
              <w:t>Fraction of annual manual baseline</w:t>
            </w:r>
          </w:p>
        </w:tc>
      </w:tr>
      <w:tr>
        <w:trPr>
          <w:cantSplit/>
        </w:trPr>
        <w:tc>
          <w:tcPr>
            <w:tcW w:type="dxa" w:w="5018"/>
          </w:tcPr>
          <w:p>
            <w:pPr>
              <w:spacing w:after="60" w:before="40"/>
            </w:pPr>
            <w:r>
              <w:rPr>
                <w:b w:val="0"/>
                <w:sz w:val="18"/>
              </w:rPr>
              <w:t>Monitoring labour</w:t>
            </w:r>
          </w:p>
        </w:tc>
        <w:tc>
          <w:tcPr>
            <w:tcW w:type="dxa" w:w="5018"/>
          </w:tcPr>
          <w:p>
            <w:pPr>
              <w:spacing w:after="60" w:before="40"/>
            </w:pPr>
            <w:r>
              <w:rPr>
                <w:b w:val="0"/>
                <w:sz w:val="18"/>
              </w:rPr>
              <w:t>0.17870794</w:t>
            </w:r>
          </w:p>
        </w:tc>
      </w:tr>
      <w:tr>
        <w:trPr>
          <w:cantSplit/>
        </w:trPr>
        <w:tc>
          <w:tcPr>
            <w:tcW w:type="dxa" w:w="5018"/>
          </w:tcPr>
          <w:p>
            <w:pPr>
              <w:spacing w:after="60" w:before="40"/>
            </w:pPr>
            <w:r>
              <w:rPr>
                <w:b w:val="0"/>
                <w:sz w:val="18"/>
              </w:rPr>
              <w:t>Transfer / recovery labour</w:t>
            </w:r>
          </w:p>
        </w:tc>
        <w:tc>
          <w:tcPr>
            <w:tcW w:type="dxa" w:w="5018"/>
          </w:tcPr>
          <w:p>
            <w:pPr>
              <w:spacing w:after="60" w:before="40"/>
            </w:pPr>
            <w:r>
              <w:rPr>
                <w:b w:val="0"/>
                <w:sz w:val="18"/>
              </w:rPr>
              <w:t>0.26250000</w:t>
            </w:r>
          </w:p>
        </w:tc>
      </w:tr>
      <w:tr>
        <w:trPr>
          <w:cantSplit/>
        </w:trPr>
        <w:tc>
          <w:tcPr>
            <w:tcW w:type="dxa" w:w="5018"/>
          </w:tcPr>
          <w:p>
            <w:pPr>
              <w:spacing w:after="60" w:before="40"/>
            </w:pPr>
            <w:r>
              <w:rPr>
                <w:b w:val="0"/>
                <w:sz w:val="18"/>
              </w:rPr>
              <w:t>Maintenance labour</w:t>
            </w:r>
          </w:p>
        </w:tc>
        <w:tc>
          <w:tcPr>
            <w:tcW w:type="dxa" w:w="5018"/>
          </w:tcPr>
          <w:p>
            <w:pPr>
              <w:spacing w:after="60" w:before="40"/>
            </w:pPr>
            <w:r>
              <w:rPr>
                <w:b w:val="0"/>
                <w:sz w:val="18"/>
              </w:rPr>
              <w:t>0.08333333</w:t>
            </w:r>
          </w:p>
        </w:tc>
      </w:tr>
      <w:tr>
        <w:trPr>
          <w:cantSplit/>
        </w:trPr>
        <w:tc>
          <w:tcPr>
            <w:tcW w:type="dxa" w:w="5018"/>
          </w:tcPr>
          <w:p>
            <w:pPr>
              <w:spacing w:after="60" w:before="40"/>
            </w:pPr>
            <w:r>
              <w:rPr>
                <w:b w:val="0"/>
                <w:sz w:val="18"/>
              </w:rPr>
              <w:t>Estimated energy</w:t>
            </w:r>
          </w:p>
        </w:tc>
        <w:tc>
          <w:tcPr>
            <w:tcW w:type="dxa" w:w="5018"/>
          </w:tcPr>
          <w:p>
            <w:pPr>
              <w:spacing w:after="60" w:before="40"/>
            </w:pPr>
            <w:r>
              <w:rPr>
                <w:b w:val="0"/>
                <w:sz w:val="18"/>
              </w:rPr>
              <w:t>0.01538444</w:t>
            </w:r>
          </w:p>
        </w:tc>
      </w:tr>
      <w:tr>
        <w:trPr>
          <w:cantSplit/>
        </w:trPr>
        <w:tc>
          <w:tcPr>
            <w:tcW w:type="dxa" w:w="5018"/>
          </w:tcPr>
          <w:p>
            <w:pPr>
              <w:spacing w:after="60" w:before="40"/>
            </w:pPr>
            <w:r>
              <w:rPr>
                <w:b w:val="0"/>
                <w:sz w:val="18"/>
              </w:rPr>
              <w:t>Battery / spares</w:t>
            </w:r>
          </w:p>
        </w:tc>
        <w:tc>
          <w:tcPr>
            <w:tcW w:type="dxa" w:w="5018"/>
          </w:tcPr>
          <w:p>
            <w:pPr>
              <w:spacing w:after="60" w:before="40"/>
            </w:pPr>
            <w:r>
              <w:rPr>
                <w:b w:val="0"/>
                <w:sz w:val="18"/>
              </w:rPr>
              <w:t>0.05000000</w:t>
            </w:r>
          </w:p>
        </w:tc>
      </w:tr>
      <w:tr>
        <w:trPr>
          <w:cantSplit/>
        </w:trPr>
        <w:tc>
          <w:tcPr>
            <w:tcW w:type="dxa" w:w="5018"/>
          </w:tcPr>
          <w:p>
            <w:pPr>
              <w:spacing w:after="60" w:before="40"/>
            </w:pPr>
            <w:r>
              <w:rPr>
                <w:b w:val="0"/>
                <w:sz w:val="18"/>
              </w:rPr>
              <w:t>Consumables</w:t>
            </w:r>
          </w:p>
        </w:tc>
        <w:tc>
          <w:tcPr>
            <w:tcW w:type="dxa" w:w="5018"/>
          </w:tcPr>
          <w:p>
            <w:pPr>
              <w:spacing w:after="60" w:before="40"/>
            </w:pPr>
            <w:r>
              <w:rPr>
                <w:b w:val="0"/>
                <w:sz w:val="18"/>
              </w:rPr>
              <w:t>0.03000000</w:t>
            </w:r>
          </w:p>
        </w:tc>
      </w:tr>
      <w:tr>
        <w:trPr>
          <w:cantSplit/>
        </w:trPr>
        <w:tc>
          <w:tcPr>
            <w:tcW w:type="dxa" w:w="5018"/>
          </w:tcPr>
          <w:p>
            <w:pPr>
              <w:spacing w:after="60" w:before="40"/>
            </w:pPr>
            <w:r>
              <w:rPr>
                <w:b w:val="0"/>
                <w:sz w:val="18"/>
              </w:rPr>
              <w:t>Total κ</w:t>
            </w:r>
          </w:p>
        </w:tc>
        <w:tc>
          <w:tcPr>
            <w:tcW w:type="dxa" w:w="5018"/>
          </w:tcPr>
          <w:p>
            <w:pPr>
              <w:spacing w:after="60" w:before="40"/>
            </w:pPr>
            <w:r>
              <w:rPr>
                <w:b w:val="0"/>
                <w:sz w:val="18"/>
              </w:rPr>
              <w:t>0.61992571</w:t>
            </w:r>
          </w:p>
        </w:tc>
      </w:tr>
    </w:tbl>
    <w:p>
      <w:r>
        <w:rPr>
          <w:b w:val="0"/>
        </w:rPr>
        <w:t>NCRI = 1 − κ = 0.38007429 (38.01%). Annual savings ratio s = NCRI. Simple payback T = 12k/s = 12 × 0.65 / 0.38007429 = 20.5223 months. Lifetime-normalised payback P = k/(L × s) = 0.342038.</w:t>
      </w:r>
    </w:p>
    <w:p>
      <w:r>
        <w:rPr>
          <w:b w:val="0"/>
        </w:rPr>
        <w:t>If s ≤ 0, payback is undefined; the script does not report an invented finite recovery time. Financing, tax, discounting and damage-related losses are outside this simple-payback calculation.</w:t>
      </w:r>
    </w:p>
    <w:p>
      <w:r>
        <w:br w:type="page"/>
      </w:r>
    </w:p>
    <w:p>
      <w:pPr>
        <w:pStyle w:val="Heading1"/>
      </w:pPr>
      <w:r>
        <w:t>6 · Capacity, queueing and labour graph</w:t>
      </w:r>
    </w:p>
    <w:p>
      <w:r>
        <w:rPr>
          <w:b w:val="0"/>
        </w:rPr>
        <w:t>One server represents one robot-plus-transfer service process. λ = sections/day ÷ scheduled hours/day. μ = 3600/Tₛ. For M/M/1, ρ = λ/μ; Wq = λ/[μ(μ − λ)] and W = 1/(μ − λ), provided λ &lt; μ.</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Queue output</w:t>
            </w:r>
          </w:p>
        </w:tc>
        <w:tc>
          <w:tcPr>
            <w:tcW w:type="dxa" w:w="5018"/>
            <w:shd w:fill="E5EFF1"/>
          </w:tcPr>
          <w:p>
            <w:pPr>
              <w:spacing w:after="60" w:before="40"/>
            </w:pPr>
            <w:r>
              <w:rPr>
                <w:b/>
                <w:sz w:val="18"/>
              </w:rPr>
              <w:t>Base case</w:t>
            </w:r>
          </w:p>
        </w:tc>
      </w:tr>
      <w:tr>
        <w:trPr>
          <w:cantSplit/>
        </w:trPr>
        <w:tc>
          <w:tcPr>
            <w:tcW w:type="dxa" w:w="5018"/>
          </w:tcPr>
          <w:p>
            <w:pPr>
              <w:spacing w:after="60" w:before="40"/>
            </w:pPr>
            <w:r>
              <w:rPr>
                <w:b w:val="0"/>
                <w:sz w:val="18"/>
              </w:rPr>
              <w:t>Service time Tₛ</w:t>
            </w:r>
          </w:p>
        </w:tc>
        <w:tc>
          <w:tcPr>
            <w:tcW w:type="dxa" w:w="5018"/>
          </w:tcPr>
          <w:p>
            <w:pPr>
              <w:spacing w:after="60" w:before="40"/>
            </w:pPr>
            <w:r>
              <w:rPr>
                <w:b w:val="0"/>
                <w:sz w:val="18"/>
              </w:rPr>
              <w:t>792.712933 s = 13.2119 min</w:t>
            </w:r>
          </w:p>
        </w:tc>
      </w:tr>
      <w:tr>
        <w:trPr>
          <w:cantSplit/>
        </w:trPr>
        <w:tc>
          <w:tcPr>
            <w:tcW w:type="dxa" w:w="5018"/>
          </w:tcPr>
          <w:p>
            <w:pPr>
              <w:spacing w:after="60" w:before="40"/>
            </w:pPr>
            <w:r>
              <w:rPr>
                <w:b w:val="0"/>
                <w:sz w:val="18"/>
              </w:rPr>
              <w:t>λ / μ</w:t>
            </w:r>
          </w:p>
        </w:tc>
        <w:tc>
          <w:tcPr>
            <w:tcW w:type="dxa" w:w="5018"/>
          </w:tcPr>
          <w:p>
            <w:pPr>
              <w:spacing w:after="60" w:before="40"/>
            </w:pPr>
            <w:r>
              <w:rPr>
                <w:b w:val="0"/>
                <w:sz w:val="18"/>
              </w:rPr>
              <w:t>2.625000 / 4.541367 sections/h</w:t>
            </w:r>
          </w:p>
        </w:tc>
      </w:tr>
      <w:tr>
        <w:trPr>
          <w:cantSplit/>
        </w:trPr>
        <w:tc>
          <w:tcPr>
            <w:tcW w:type="dxa" w:w="5018"/>
          </w:tcPr>
          <w:p>
            <w:pPr>
              <w:spacing w:after="60" w:before="40"/>
            </w:pPr>
            <w:r>
              <w:rPr>
                <w:b w:val="0"/>
                <w:sz w:val="18"/>
              </w:rPr>
              <w:t>Servers / utilisation</w:t>
            </w:r>
          </w:p>
        </w:tc>
        <w:tc>
          <w:tcPr>
            <w:tcW w:type="dxa" w:w="5018"/>
          </w:tcPr>
          <w:p>
            <w:pPr>
              <w:spacing w:after="60" w:before="40"/>
            </w:pPr>
            <w:r>
              <w:rPr>
                <w:b w:val="0"/>
                <w:sz w:val="18"/>
              </w:rPr>
              <w:t>1 / 0.578020</w:t>
            </w:r>
          </w:p>
        </w:tc>
      </w:tr>
      <w:tr>
        <w:trPr>
          <w:cantSplit/>
        </w:trPr>
        <w:tc>
          <w:tcPr>
            <w:tcW w:type="dxa" w:w="5018"/>
          </w:tcPr>
          <w:p>
            <w:pPr>
              <w:spacing w:after="60" w:before="40"/>
            </w:pPr>
            <w:r>
              <w:rPr>
                <w:b w:val="0"/>
                <w:sz w:val="18"/>
              </w:rPr>
              <w:t>Mean queue wait Wq</w:t>
            </w:r>
          </w:p>
        </w:tc>
        <w:tc>
          <w:tcPr>
            <w:tcW w:type="dxa" w:w="5018"/>
          </w:tcPr>
          <w:p>
            <w:pPr>
              <w:spacing w:after="60" w:before="40"/>
            </w:pPr>
            <w:r>
              <w:rPr>
                <w:b w:val="0"/>
                <w:sz w:val="18"/>
              </w:rPr>
              <w:t>18.097368 min</w:t>
            </w:r>
          </w:p>
        </w:tc>
      </w:tr>
      <w:tr>
        <w:trPr>
          <w:cantSplit/>
        </w:trPr>
        <w:tc>
          <w:tcPr>
            <w:tcW w:type="dxa" w:w="5018"/>
          </w:tcPr>
          <w:p>
            <w:pPr>
              <w:spacing w:after="60" w:before="40"/>
            </w:pPr>
            <w:r>
              <w:rPr>
                <w:b w:val="0"/>
                <w:sz w:val="18"/>
              </w:rPr>
              <w:t>Mean queue + service W</w:t>
            </w:r>
          </w:p>
        </w:tc>
        <w:tc>
          <w:tcPr>
            <w:tcW w:type="dxa" w:w="5018"/>
          </w:tcPr>
          <w:p>
            <w:pPr>
              <w:spacing w:after="60" w:before="40"/>
            </w:pPr>
            <w:r>
              <w:rPr>
                <w:b w:val="0"/>
                <w:sz w:val="18"/>
              </w:rPr>
              <w:t>31.309250 min</w:t>
            </w:r>
          </w:p>
        </w:tc>
      </w:tr>
      <w:tr>
        <w:trPr>
          <w:cantSplit/>
        </w:trPr>
        <w:tc>
          <w:tcPr>
            <w:tcW w:type="dxa" w:w="5018"/>
          </w:tcPr>
          <w:p>
            <w:pPr>
              <w:spacing w:after="60" w:before="40"/>
            </w:pPr>
            <w:r>
              <w:rPr>
                <w:b w:val="0"/>
                <w:sz w:val="18"/>
              </w:rPr>
              <w:t>Service-process hours/month</w:t>
            </w:r>
          </w:p>
        </w:tc>
        <w:tc>
          <w:tcPr>
            <w:tcW w:type="dxa" w:w="5018"/>
          </w:tcPr>
          <w:p>
            <w:pPr>
              <w:spacing w:after="60" w:before="40"/>
            </w:pPr>
            <w:r>
              <w:rPr>
                <w:b w:val="0"/>
                <w:sz w:val="18"/>
              </w:rPr>
              <w:t>138.724763 h, including assumed transfer</w:t>
            </w:r>
          </w:p>
        </w:tc>
      </w:tr>
    </w:tbl>
    <w:p>
      <w:r>
        <w:drawing>
          <wp:inline xmlns:a="http://schemas.openxmlformats.org/drawingml/2006/main" xmlns:pic="http://schemas.openxmlformats.org/drawingml/2006/picture">
            <wp:extent cx="6080760" cy="2316480"/>
            <wp:docPr id="1" name="Picture 1"/>
            <wp:cNvGraphicFramePr>
              <a:graphicFrameLocks noChangeAspect="1"/>
            </wp:cNvGraphicFramePr>
            <a:graphic>
              <a:graphicData uri="http://schemas.openxmlformats.org/drawingml/2006/picture">
                <pic:pic>
                  <pic:nvPicPr>
                    <pic:cNvPr id="0" name="queue_and_labour.png"/>
                    <pic:cNvPicPr/>
                  </pic:nvPicPr>
                  <pic:blipFill>
                    <a:blip r:embed="rId11"/>
                    <a:stretch>
                      <a:fillRect/>
                    </a:stretch>
                  </pic:blipFill>
                  <pic:spPr>
                    <a:xfrm>
                      <a:off x="0" y="0"/>
                      <a:ext cx="6080760" cy="2316480"/>
                    </a:xfrm>
                    <a:prstGeom prst="rect"/>
                  </pic:spPr>
                </pic:pic>
              </a:graphicData>
            </a:graphic>
          </wp:inline>
        </w:drawing>
      </w:r>
    </w:p>
    <w:p>
      <w:r>
        <w:rPr>
          <w:b w:val="0"/>
          <w:sz w:val="16"/>
        </w:rPr>
        <w:t>Existing final-analysis figure. Queue distributions are assumed. The M/D/1 curve is a reference, not a fitted arrival/service model. Labour includes monitoring, transfer/recovery and maintenance.</w:t>
      </w:r>
    </w:p>
    <w:p>
      <w:r>
        <w:rPr>
          <w:b w:val="0"/>
        </w:rPr>
        <w:t>A mean queue wait can exceed one service duration because arrivals may find work already waiting. Queue delay is a stochastic scenario output, not an observed timing measurement from the robot film. If utilisation reaches 1, finite steady-state wait is not reported. Maintenance labour is costed but its detailed equipment-downtime schedule is not simulated.</w:t>
      </w:r>
    </w:p>
    <w:p>
      <w:r>
        <w:br w:type="page"/>
      </w:r>
    </w:p>
    <w:p>
      <w:pPr>
        <w:pStyle w:val="Heading1"/>
      </w:pPr>
      <w:r>
        <w:t>7 · Sensitivity and break-even conditions</w:t>
      </w:r>
    </w:p>
    <w:p>
      <w:r>
        <w:rPr>
          <w:b w:val="0"/>
        </w:rPr>
        <w:t>The script changes eight inputs one at a time to 70%, 100% and 130% of their base values. This is scenario sensitivity, not a financial confidence interval or a joint uncertainty model.</w:t>
      </w:r>
    </w:p>
    <w:tbl>
      <w:tblPr>
        <w:tblStyle w:val="TableGrid"/>
        <w:tblW w:type="auto" w:w="0"/>
        <w:tblLook w:firstColumn="1" w:firstRow="1" w:lastColumn="0" w:lastRow="0" w:noHBand="0" w:noVBand="1" w:val="04A0"/>
      </w:tblPr>
      <w:tblGrid>
        <w:gridCol w:w="3346"/>
        <w:gridCol w:w="3346"/>
        <w:gridCol w:w="3346"/>
      </w:tblGrid>
      <w:tr>
        <w:trPr>
          <w:tblHeader/>
          <w:cantSplit/>
        </w:trPr>
        <w:tc>
          <w:tcPr>
            <w:tcW w:type="dxa" w:w="3346"/>
            <w:shd w:fill="E5EFF1"/>
          </w:tcPr>
          <w:p>
            <w:pPr>
              <w:spacing w:after="60" w:before="40"/>
            </w:pPr>
            <w:r>
              <w:rPr>
                <w:b/>
                <w:sz w:val="17"/>
              </w:rPr>
              <w:t>Input changed</w:t>
            </w:r>
          </w:p>
        </w:tc>
        <w:tc>
          <w:tcPr>
            <w:tcW w:type="dxa" w:w="3346"/>
            <w:shd w:fill="E5EFF1"/>
          </w:tcPr>
          <w:p>
            <w:pPr>
              <w:spacing w:after="60" w:before="40"/>
            </w:pPr>
            <w:r>
              <w:rPr>
                <w:b/>
                <w:sz w:val="17"/>
              </w:rPr>
              <w:t>NCRI at −30% / +30%</w:t>
            </w:r>
          </w:p>
        </w:tc>
        <w:tc>
          <w:tcPr>
            <w:tcW w:type="dxa" w:w="3346"/>
            <w:shd w:fill="E5EFF1"/>
          </w:tcPr>
          <w:p>
            <w:pPr>
              <w:spacing w:after="60" w:before="40"/>
            </w:pPr>
            <w:r>
              <w:rPr>
                <w:b/>
                <w:sz w:val="17"/>
              </w:rPr>
              <w:t>Payback months at −30% / +30%</w:t>
            </w:r>
          </w:p>
        </w:tc>
      </w:tr>
      <w:tr>
        <w:trPr>
          <w:cantSplit/>
        </w:trPr>
        <w:tc>
          <w:tcPr>
            <w:tcW w:type="dxa" w:w="3346"/>
          </w:tcPr>
          <w:p>
            <w:pPr>
              <w:spacing w:after="60" w:before="40"/>
            </w:pPr>
            <w:r>
              <w:rPr>
                <w:b w:val="0"/>
                <w:sz w:val="17"/>
              </w:rPr>
              <w:t>Supervision</w:t>
            </w:r>
          </w:p>
        </w:tc>
        <w:tc>
          <w:tcPr>
            <w:tcW w:type="dxa" w:w="3346"/>
          </w:tcPr>
          <w:p>
            <w:pPr>
              <w:spacing w:after="60" w:before="40"/>
            </w:pPr>
            <w:r>
              <w:rPr>
                <w:b w:val="0"/>
                <w:sz w:val="17"/>
              </w:rPr>
              <w:t>43.37% / 32.65%</w:t>
            </w:r>
          </w:p>
        </w:tc>
        <w:tc>
          <w:tcPr>
            <w:tcW w:type="dxa" w:w="3346"/>
          </w:tcPr>
          <w:p>
            <w:pPr>
              <w:spacing w:after="60" w:before="40"/>
            </w:pPr>
            <w:r>
              <w:rPr>
                <w:b w:val="0"/>
                <w:sz w:val="17"/>
              </w:rPr>
              <w:t>17.99 / 23.89</w:t>
            </w:r>
          </w:p>
        </w:tc>
      </w:tr>
      <w:tr>
        <w:trPr>
          <w:cantSplit/>
        </w:trPr>
        <w:tc>
          <w:tcPr>
            <w:tcW w:type="dxa" w:w="3346"/>
          </w:tcPr>
          <w:p>
            <w:pPr>
              <w:spacing w:after="60" w:before="40"/>
            </w:pPr>
            <w:r>
              <w:rPr>
                <w:b w:val="0"/>
                <w:sz w:val="17"/>
              </w:rPr>
              <w:t>Manual baseline hours</w:t>
            </w:r>
          </w:p>
        </w:tc>
        <w:tc>
          <w:tcPr>
            <w:tcW w:type="dxa" w:w="3346"/>
          </w:tcPr>
          <w:p>
            <w:pPr>
              <w:spacing w:after="60" w:before="40"/>
            </w:pPr>
            <w:r>
              <w:rPr>
                <w:b w:val="0"/>
                <w:sz w:val="17"/>
              </w:rPr>
              <w:t>15.53% / 50.11%</w:t>
            </w:r>
          </w:p>
        </w:tc>
        <w:tc>
          <w:tcPr>
            <w:tcW w:type="dxa" w:w="3346"/>
          </w:tcPr>
          <w:p>
            <w:pPr>
              <w:spacing w:after="60" w:before="40"/>
            </w:pPr>
            <w:r>
              <w:rPr>
                <w:b w:val="0"/>
                <w:sz w:val="17"/>
              </w:rPr>
              <w:t>50.23 / 15.57</w:t>
            </w:r>
          </w:p>
        </w:tc>
      </w:tr>
      <w:tr>
        <w:trPr>
          <w:cantSplit/>
        </w:trPr>
        <w:tc>
          <w:tcPr>
            <w:tcW w:type="dxa" w:w="3346"/>
          </w:tcPr>
          <w:p>
            <w:pPr>
              <w:spacing w:after="60" w:before="40"/>
            </w:pPr>
            <w:r>
              <w:rPr>
                <w:b w:val="0"/>
                <w:sz w:val="17"/>
              </w:rPr>
              <w:t>Capital ratio</w:t>
            </w:r>
          </w:p>
        </w:tc>
        <w:tc>
          <w:tcPr>
            <w:tcW w:type="dxa" w:w="3346"/>
          </w:tcPr>
          <w:p>
            <w:pPr>
              <w:spacing w:after="60" w:before="40"/>
            </w:pPr>
            <w:r>
              <w:rPr>
                <w:b w:val="0"/>
                <w:sz w:val="17"/>
              </w:rPr>
              <w:t>38.01% / 38.01%</w:t>
            </w:r>
          </w:p>
        </w:tc>
        <w:tc>
          <w:tcPr>
            <w:tcW w:type="dxa" w:w="3346"/>
          </w:tcPr>
          <w:p>
            <w:pPr>
              <w:spacing w:after="60" w:before="40"/>
            </w:pPr>
            <w:r>
              <w:rPr>
                <w:b w:val="0"/>
                <w:sz w:val="17"/>
              </w:rPr>
              <w:t>14.37 / 26.68</w:t>
            </w:r>
          </w:p>
        </w:tc>
      </w:tr>
      <w:tr>
        <w:trPr>
          <w:cantSplit/>
        </w:trPr>
        <w:tc>
          <w:tcPr>
            <w:tcW w:type="dxa" w:w="3346"/>
          </w:tcPr>
          <w:p>
            <w:pPr>
              <w:spacing w:after="60" w:before="40"/>
            </w:pPr>
            <w:r>
              <w:rPr>
                <w:b w:val="0"/>
                <w:sz w:val="17"/>
              </w:rPr>
              <w:t>Transfer seconds</w:t>
            </w:r>
          </w:p>
        </w:tc>
        <w:tc>
          <w:tcPr>
            <w:tcW w:type="dxa" w:w="3346"/>
          </w:tcPr>
          <w:p>
            <w:pPr>
              <w:spacing w:after="60" w:before="40"/>
            </w:pPr>
            <w:r>
              <w:rPr>
                <w:b w:val="0"/>
                <w:sz w:val="17"/>
              </w:rPr>
              <w:t>45.90% / 30.12%</w:t>
            </w:r>
          </w:p>
        </w:tc>
        <w:tc>
          <w:tcPr>
            <w:tcW w:type="dxa" w:w="3346"/>
          </w:tcPr>
          <w:p>
            <w:pPr>
              <w:spacing w:after="60" w:before="40"/>
            </w:pPr>
            <w:r>
              <w:rPr>
                <w:b w:val="0"/>
                <w:sz w:val="17"/>
              </w:rPr>
              <w:t>16.99 / 25.90</w:t>
            </w:r>
          </w:p>
        </w:tc>
      </w:tr>
      <w:tr>
        <w:trPr>
          <w:cantSplit/>
        </w:trPr>
        <w:tc>
          <w:tcPr>
            <w:tcW w:type="dxa" w:w="3346"/>
          </w:tcPr>
          <w:p>
            <w:pPr>
              <w:spacing w:after="60" w:before="40"/>
            </w:pPr>
            <w:r>
              <w:rPr>
                <w:b w:val="0"/>
                <w:sz w:val="17"/>
              </w:rPr>
              <w:t>Recovery seconds</w:t>
            </w:r>
          </w:p>
        </w:tc>
        <w:tc>
          <w:tcPr>
            <w:tcW w:type="dxa" w:w="3346"/>
          </w:tcPr>
          <w:p>
            <w:pPr>
              <w:spacing w:after="60" w:before="40"/>
            </w:pPr>
            <w:r>
              <w:rPr>
                <w:b w:val="0"/>
                <w:sz w:val="17"/>
              </w:rPr>
              <w:t>38.01% / 38.01%</w:t>
            </w:r>
          </w:p>
        </w:tc>
        <w:tc>
          <w:tcPr>
            <w:tcW w:type="dxa" w:w="3346"/>
          </w:tcPr>
          <w:p>
            <w:pPr>
              <w:spacing w:after="60" w:before="40"/>
            </w:pPr>
            <w:r>
              <w:rPr>
                <w:b w:val="0"/>
                <w:sz w:val="17"/>
              </w:rPr>
              <w:t>20.52 / 20.52</w:t>
            </w:r>
          </w:p>
        </w:tc>
      </w:tr>
      <w:tr>
        <w:trPr>
          <w:cantSplit/>
        </w:trPr>
        <w:tc>
          <w:tcPr>
            <w:tcW w:type="dxa" w:w="3346"/>
          </w:tcPr>
          <w:p>
            <w:pPr>
              <w:spacing w:after="60" w:before="40"/>
            </w:pPr>
            <w:r>
              <w:rPr>
                <w:b w:val="0"/>
                <w:sz w:val="17"/>
              </w:rPr>
              <w:t>Energy-cost coefficient</w:t>
            </w:r>
          </w:p>
        </w:tc>
        <w:tc>
          <w:tcPr>
            <w:tcW w:type="dxa" w:w="3346"/>
          </w:tcPr>
          <w:p>
            <w:pPr>
              <w:spacing w:after="60" w:before="40"/>
            </w:pPr>
            <w:r>
              <w:rPr>
                <w:b w:val="0"/>
                <w:sz w:val="17"/>
              </w:rPr>
              <w:t>38.47% / 37.55%</w:t>
            </w:r>
          </w:p>
        </w:tc>
        <w:tc>
          <w:tcPr>
            <w:tcW w:type="dxa" w:w="3346"/>
          </w:tcPr>
          <w:p>
            <w:pPr>
              <w:spacing w:after="60" w:before="40"/>
            </w:pPr>
            <w:r>
              <w:rPr>
                <w:b w:val="0"/>
                <w:sz w:val="17"/>
              </w:rPr>
              <w:t>20.28 / 20.77</w:t>
            </w:r>
          </w:p>
        </w:tc>
      </w:tr>
      <w:tr>
        <w:trPr>
          <w:cantSplit/>
        </w:trPr>
        <w:tc>
          <w:tcPr>
            <w:tcW w:type="dxa" w:w="3346"/>
          </w:tcPr>
          <w:p>
            <w:pPr>
              <w:spacing w:after="60" w:before="40"/>
            </w:pPr>
            <w:r>
              <w:rPr>
                <w:b w:val="0"/>
                <w:sz w:val="17"/>
              </w:rPr>
              <w:t>Maintenance hours</w:t>
            </w:r>
          </w:p>
        </w:tc>
        <w:tc>
          <w:tcPr>
            <w:tcW w:type="dxa" w:w="3346"/>
          </w:tcPr>
          <w:p>
            <w:pPr>
              <w:spacing w:after="60" w:before="40"/>
            </w:pPr>
            <w:r>
              <w:rPr>
                <w:b w:val="0"/>
                <w:sz w:val="17"/>
              </w:rPr>
              <w:t>40.51% / 35.51%</w:t>
            </w:r>
          </w:p>
        </w:tc>
        <w:tc>
          <w:tcPr>
            <w:tcW w:type="dxa" w:w="3346"/>
          </w:tcPr>
          <w:p>
            <w:pPr>
              <w:spacing w:after="60" w:before="40"/>
            </w:pPr>
            <w:r>
              <w:rPr>
                <w:b w:val="0"/>
                <w:sz w:val="17"/>
              </w:rPr>
              <w:t>19.26 / 21.97</w:t>
            </w:r>
          </w:p>
        </w:tc>
      </w:tr>
      <w:tr>
        <w:trPr>
          <w:cantSplit/>
        </w:trPr>
        <w:tc>
          <w:tcPr>
            <w:tcW w:type="dxa" w:w="3346"/>
          </w:tcPr>
          <w:p>
            <w:pPr>
              <w:spacing w:after="60" w:before="40"/>
            </w:pPr>
            <w:r>
              <w:rPr>
                <w:b w:val="0"/>
                <w:sz w:val="17"/>
              </w:rPr>
              <w:t>Drive efficiency</w:t>
            </w:r>
          </w:p>
        </w:tc>
        <w:tc>
          <w:tcPr>
            <w:tcW w:type="dxa" w:w="3346"/>
          </w:tcPr>
          <w:p>
            <w:pPr>
              <w:spacing w:after="60" w:before="40"/>
            </w:pPr>
            <w:r>
              <w:rPr>
                <w:b w:val="0"/>
                <w:sz w:val="17"/>
              </w:rPr>
              <w:t>37.87% / 38.08%</w:t>
            </w:r>
          </w:p>
        </w:tc>
        <w:tc>
          <w:tcPr>
            <w:tcW w:type="dxa" w:w="3346"/>
          </w:tcPr>
          <w:p>
            <w:pPr>
              <w:spacing w:after="60" w:before="40"/>
            </w:pPr>
            <w:r>
              <w:rPr>
                <w:b w:val="0"/>
                <w:sz w:val="17"/>
              </w:rPr>
              <w:t>20.60 / 20.48</w:t>
            </w:r>
          </w:p>
        </w:tc>
      </w:tr>
    </w:tbl>
    <w:p>
      <w:r>
        <w:drawing>
          <wp:inline xmlns:a="http://schemas.openxmlformats.org/drawingml/2006/main" xmlns:pic="http://schemas.openxmlformats.org/drawingml/2006/picture">
            <wp:extent cx="6080760" cy="23164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2"/>
                    <a:stretch>
                      <a:fillRect/>
                    </a:stretch>
                  </pic:blipFill>
                  <pic:spPr>
                    <a:xfrm>
                      <a:off x="0" y="0"/>
                      <a:ext cx="6080760" cy="2316480"/>
                    </a:xfrm>
                    <a:prstGeom prst="rect"/>
                  </pic:spPr>
                </pic:pic>
              </a:graphicData>
            </a:graphic>
          </wp:inline>
        </w:drawing>
      </w:r>
    </w:p>
    <w:p>
      <w:r>
        <w:rPr>
          <w:b w:val="0"/>
          <w:sz w:val="16"/>
        </w:rPr>
        <w:t>Existing final-analysis figure: supervision versus normalised operating-cost reduction and simple payback. Commercial assumptions are varied; savings are not field observations.</w:t>
      </w:r>
    </w:p>
    <w:p>
      <w:r>
        <w:rPr>
          <w:b w:val="0"/>
        </w:rPr>
        <w:t>Base break-even supervision fraction: 0.625358 (62.54%). Above this, annual operating savings become non-positive with other assumptions fixed. Maximum capital ratio for recovery within five assumed years: 1.900371.</w:t>
      </w:r>
    </w:p>
    <w:p>
      <w:r>
        <w:rPr>
          <w:b w:val="0"/>
        </w:rPr>
        <w:t>Recovery-time sensitivity is flat at p = 1 because no recovery is invoked in the base scenario. It matters when p &lt; 1. Sensitivity holds other declared normalised inputs fixed; it is not a set of verified supplier-price forecasts.</w:t>
      </w:r>
    </w:p>
    <w:p>
      <w:r>
        <w:br w:type="page"/>
      </w:r>
    </w:p>
    <w:p>
      <w:pPr>
        <w:pStyle w:val="Heading1"/>
      </w:pPr>
      <w:r>
        <w:t>8 · Reliability uncertainty and interpretation</w:t>
      </w:r>
    </w:p>
    <w:p>
      <w:r>
        <w:rPr>
          <w:b w:val="0"/>
        </w:rPr>
        <w:t>Thirty observed successes do not establish true success probability 1. The stored lower-confidence scenario substitutes the nominal proposed controller’s 95% Wilson lower bound for p, while retaining the same measured mean attempt/work inputs. This is a stress scenario, not a prediction of field failure rates.</w:t>
      </w:r>
    </w:p>
    <w:tbl>
      <w:tblPr>
        <w:tblStyle w:val="TableGrid"/>
        <w:tblW w:type="auto" w:w="0"/>
        <w:tblLook w:firstColumn="1" w:firstRow="1" w:lastColumn="0" w:lastRow="0" w:noHBand="0" w:noVBand="1" w:val="04A0"/>
      </w:tblPr>
      <w:tblGrid>
        <w:gridCol w:w="3346"/>
        <w:gridCol w:w="3346"/>
        <w:gridCol w:w="3346"/>
      </w:tblGrid>
      <w:tr>
        <w:trPr>
          <w:tblHeader/>
          <w:cantSplit/>
        </w:trPr>
        <w:tc>
          <w:tcPr>
            <w:tcW w:type="dxa" w:w="3346"/>
            <w:shd w:fill="E5EFF1"/>
          </w:tcPr>
          <w:p>
            <w:pPr>
              <w:spacing w:after="60" w:before="40"/>
            </w:pPr>
            <w:r>
              <w:rPr>
                <w:b/>
                <w:sz w:val="18"/>
              </w:rPr>
              <w:t>Output</w:t>
            </w:r>
          </w:p>
        </w:tc>
        <w:tc>
          <w:tcPr>
            <w:tcW w:type="dxa" w:w="3346"/>
            <w:shd w:fill="E5EFF1"/>
          </w:tcPr>
          <w:p>
            <w:pPr>
              <w:spacing w:after="60" w:before="40"/>
            </w:pPr>
            <w:r>
              <w:rPr>
                <w:b/>
                <w:sz w:val="18"/>
              </w:rPr>
              <w:t>Observed-sample base</w:t>
            </w:r>
          </w:p>
        </w:tc>
        <w:tc>
          <w:tcPr>
            <w:tcW w:type="dxa" w:w="3346"/>
            <w:shd w:fill="E5EFF1"/>
          </w:tcPr>
          <w:p>
            <w:pPr>
              <w:spacing w:after="60" w:before="40"/>
            </w:pPr>
            <w:r>
              <w:rPr>
                <w:b/>
                <w:sz w:val="18"/>
              </w:rPr>
              <w:t>Wilson-lower-bound scenario</w:t>
            </w:r>
          </w:p>
        </w:tc>
      </w:tr>
      <w:tr>
        <w:trPr>
          <w:cantSplit/>
        </w:trPr>
        <w:tc>
          <w:tcPr>
            <w:tcW w:type="dxa" w:w="3346"/>
          </w:tcPr>
          <w:p>
            <w:pPr>
              <w:spacing w:after="60" w:before="40"/>
            </w:pPr>
            <w:r>
              <w:rPr>
                <w:b w:val="0"/>
                <w:sz w:val="18"/>
              </w:rPr>
              <w:t>Success probability used</w:t>
            </w:r>
          </w:p>
        </w:tc>
        <w:tc>
          <w:tcPr>
            <w:tcW w:type="dxa" w:w="3346"/>
          </w:tcPr>
          <w:p>
            <w:pPr>
              <w:spacing w:after="60" w:before="40"/>
            </w:pPr>
            <w:r>
              <w:rPr>
                <w:b w:val="0"/>
                <w:sz w:val="18"/>
              </w:rPr>
              <w:t>1.000000</w:t>
            </w:r>
          </w:p>
        </w:tc>
        <w:tc>
          <w:tcPr>
            <w:tcW w:type="dxa" w:w="3346"/>
          </w:tcPr>
          <w:p>
            <w:pPr>
              <w:spacing w:after="60" w:before="40"/>
            </w:pPr>
            <w:r>
              <w:rPr>
                <w:b w:val="0"/>
                <w:sz w:val="18"/>
              </w:rPr>
              <w:t>0.886487</w:t>
            </w:r>
          </w:p>
        </w:tc>
      </w:tr>
      <w:tr>
        <w:trPr>
          <w:cantSplit/>
        </w:trPr>
        <w:tc>
          <w:tcPr>
            <w:tcW w:type="dxa" w:w="3346"/>
          </w:tcPr>
          <w:p>
            <w:pPr>
              <w:spacing w:after="60" w:before="40"/>
            </w:pPr>
            <w:r>
              <w:rPr>
                <w:b w:val="0"/>
                <w:sz w:val="18"/>
              </w:rPr>
              <w:t>Service capacity (sections/h)</w:t>
            </w:r>
          </w:p>
        </w:tc>
        <w:tc>
          <w:tcPr>
            <w:tcW w:type="dxa" w:w="3346"/>
          </w:tcPr>
          <w:p>
            <w:pPr>
              <w:spacing w:after="60" w:before="40"/>
            </w:pPr>
            <w:r>
              <w:rPr>
                <w:b w:val="0"/>
                <w:sz w:val="18"/>
              </w:rPr>
              <w:t>4.5414</w:t>
            </w:r>
          </w:p>
        </w:tc>
        <w:tc>
          <w:tcPr>
            <w:tcW w:type="dxa" w:w="3346"/>
          </w:tcPr>
          <w:p>
            <w:pPr>
              <w:spacing w:after="60" w:before="40"/>
            </w:pPr>
            <w:r>
              <w:rPr>
                <w:b w:val="0"/>
                <w:sz w:val="18"/>
              </w:rPr>
              <w:t>4.0259</w:t>
            </w:r>
          </w:p>
        </w:tc>
      </w:tr>
      <w:tr>
        <w:trPr>
          <w:cantSplit/>
        </w:trPr>
        <w:tc>
          <w:tcPr>
            <w:tcW w:type="dxa" w:w="3346"/>
          </w:tcPr>
          <w:p>
            <w:pPr>
              <w:spacing w:after="60" w:before="40"/>
            </w:pPr>
            <w:r>
              <w:rPr>
                <w:b w:val="0"/>
                <w:sz w:val="18"/>
              </w:rPr>
              <w:t>Monthly human effort (person-h)</w:t>
            </w:r>
          </w:p>
        </w:tc>
        <w:tc>
          <w:tcPr>
            <w:tcW w:type="dxa" w:w="3346"/>
          </w:tcPr>
          <w:p>
            <w:pPr>
              <w:spacing w:after="60" w:before="40"/>
            </w:pPr>
            <w:r>
              <w:rPr>
                <w:b w:val="0"/>
                <w:sz w:val="18"/>
              </w:rPr>
              <w:t>62.9450</w:t>
            </w:r>
          </w:p>
        </w:tc>
        <w:tc>
          <w:tcPr>
            <w:tcW w:type="dxa" w:w="3346"/>
          </w:tcPr>
          <w:p>
            <w:pPr>
              <w:spacing w:after="60" w:before="40"/>
            </w:pPr>
            <w:r>
              <w:rPr>
                <w:b w:val="0"/>
                <w:sz w:val="18"/>
              </w:rPr>
              <w:t>69.7245</w:t>
            </w:r>
          </w:p>
        </w:tc>
      </w:tr>
      <w:tr>
        <w:trPr>
          <w:cantSplit/>
        </w:trPr>
        <w:tc>
          <w:tcPr>
            <w:tcW w:type="dxa" w:w="3346"/>
          </w:tcPr>
          <w:p>
            <w:pPr>
              <w:spacing w:after="60" w:before="40"/>
            </w:pPr>
            <w:r>
              <w:rPr>
                <w:b w:val="0"/>
                <w:sz w:val="18"/>
              </w:rPr>
              <w:t>Monthly effort reclaimed (person-h)</w:t>
            </w:r>
          </w:p>
        </w:tc>
        <w:tc>
          <w:tcPr>
            <w:tcW w:type="dxa" w:w="3346"/>
          </w:tcPr>
          <w:p>
            <w:pPr>
              <w:spacing w:after="60" w:before="40"/>
            </w:pPr>
            <w:r>
              <w:rPr>
                <w:b w:val="0"/>
                <w:sz w:val="18"/>
              </w:rPr>
              <w:t>57.0550</w:t>
            </w:r>
          </w:p>
        </w:tc>
        <w:tc>
          <w:tcPr>
            <w:tcW w:type="dxa" w:w="3346"/>
          </w:tcPr>
          <w:p>
            <w:pPr>
              <w:spacing w:after="60" w:before="40"/>
            </w:pPr>
            <w:r>
              <w:rPr>
                <w:b w:val="0"/>
                <w:sz w:val="18"/>
              </w:rPr>
              <w:t>50.2755</w:t>
            </w:r>
          </w:p>
        </w:tc>
      </w:tr>
      <w:tr>
        <w:trPr>
          <w:cantSplit/>
        </w:trPr>
        <w:tc>
          <w:tcPr>
            <w:tcW w:type="dxa" w:w="3346"/>
          </w:tcPr>
          <w:p>
            <w:pPr>
              <w:spacing w:after="60" w:before="40"/>
            </w:pPr>
            <w:r>
              <w:rPr>
                <w:b w:val="0"/>
                <w:sz w:val="18"/>
              </w:rPr>
              <w:t>κ / NCRI</w:t>
            </w:r>
          </w:p>
        </w:tc>
        <w:tc>
          <w:tcPr>
            <w:tcW w:type="dxa" w:w="3346"/>
          </w:tcPr>
          <w:p>
            <w:pPr>
              <w:spacing w:after="60" w:before="40"/>
            </w:pPr>
            <w:r>
              <w:rPr>
                <w:b w:val="0"/>
                <w:sz w:val="18"/>
              </w:rPr>
              <w:t>0.61993 / 38.01%</w:t>
            </w:r>
          </w:p>
        </w:tc>
        <w:tc>
          <w:tcPr>
            <w:tcW w:type="dxa" w:w="3346"/>
          </w:tcPr>
          <w:p>
            <w:pPr>
              <w:spacing w:after="60" w:before="40"/>
            </w:pPr>
            <w:r>
              <w:rPr>
                <w:b w:val="0"/>
                <w:sz w:val="18"/>
              </w:rPr>
              <w:t>0.67773 / 32.23%</w:t>
            </w:r>
          </w:p>
        </w:tc>
      </w:tr>
      <w:tr>
        <w:trPr>
          <w:cantSplit/>
        </w:trPr>
        <w:tc>
          <w:tcPr>
            <w:tcW w:type="dxa" w:w="3346"/>
          </w:tcPr>
          <w:p>
            <w:pPr>
              <w:spacing w:after="60" w:before="40"/>
            </w:pPr>
            <w:r>
              <w:rPr>
                <w:b w:val="0"/>
                <w:sz w:val="18"/>
              </w:rPr>
              <w:t>Simple payback (months)</w:t>
            </w:r>
          </w:p>
        </w:tc>
        <w:tc>
          <w:tcPr>
            <w:tcW w:type="dxa" w:w="3346"/>
          </w:tcPr>
          <w:p>
            <w:pPr>
              <w:spacing w:after="60" w:before="40"/>
            </w:pPr>
            <w:r>
              <w:rPr>
                <w:b w:val="0"/>
                <w:sz w:val="18"/>
              </w:rPr>
              <w:t>20.5223</w:t>
            </w:r>
          </w:p>
        </w:tc>
        <w:tc>
          <w:tcPr>
            <w:tcW w:type="dxa" w:w="3346"/>
          </w:tcPr>
          <w:p>
            <w:pPr>
              <w:spacing w:after="60" w:before="40"/>
            </w:pPr>
            <w:r>
              <w:rPr>
                <w:b w:val="0"/>
                <w:sz w:val="18"/>
              </w:rPr>
              <w:t>24.2032</w:t>
            </w:r>
          </w:p>
        </w:tc>
      </w:tr>
      <w:tr>
        <w:trPr>
          <w:cantSplit/>
        </w:trPr>
        <w:tc>
          <w:tcPr>
            <w:tcW w:type="dxa" w:w="3346"/>
          </w:tcPr>
          <w:p>
            <w:pPr>
              <w:spacing w:after="60" w:before="40"/>
            </w:pPr>
            <w:r>
              <w:rPr>
                <w:b w:val="0"/>
                <w:sz w:val="18"/>
              </w:rPr>
              <w:t>Queue wait (min)</w:t>
            </w:r>
          </w:p>
        </w:tc>
        <w:tc>
          <w:tcPr>
            <w:tcW w:type="dxa" w:w="3346"/>
          </w:tcPr>
          <w:p>
            <w:pPr>
              <w:spacing w:after="60" w:before="40"/>
            </w:pPr>
            <w:r>
              <w:rPr>
                <w:b w:val="0"/>
                <w:sz w:val="18"/>
              </w:rPr>
              <w:t>18.0974</w:t>
            </w:r>
          </w:p>
        </w:tc>
        <w:tc>
          <w:tcPr>
            <w:tcW w:type="dxa" w:w="3346"/>
          </w:tcPr>
          <w:p>
            <w:pPr>
              <w:spacing w:after="60" w:before="40"/>
            </w:pPr>
            <w:r>
              <w:rPr>
                <w:b w:val="0"/>
                <w:sz w:val="18"/>
              </w:rPr>
              <w:t>27.9272</w:t>
            </w:r>
          </w:p>
        </w:tc>
      </w:tr>
      <w:tr>
        <w:trPr>
          <w:cantSplit/>
        </w:trPr>
        <w:tc>
          <w:tcPr>
            <w:tcW w:type="dxa" w:w="3346"/>
          </w:tcPr>
          <w:p>
            <w:pPr>
              <w:spacing w:after="60" w:before="40"/>
            </w:pPr>
            <w:r>
              <w:rPr>
                <w:b w:val="0"/>
                <w:sz w:val="18"/>
              </w:rPr>
              <w:t>Estimated system kWh/year</w:t>
            </w:r>
          </w:p>
        </w:tc>
        <w:tc>
          <w:tcPr>
            <w:tcW w:type="dxa" w:w="3346"/>
          </w:tcPr>
          <w:p>
            <w:pPr>
              <w:spacing w:after="60" w:before="40"/>
            </w:pPr>
            <w:r>
              <w:rPr>
                <w:b w:val="0"/>
                <w:sz w:val="18"/>
              </w:rPr>
              <w:t>51.2815</w:t>
            </w:r>
          </w:p>
        </w:tc>
        <w:tc>
          <w:tcPr>
            <w:tcW w:type="dxa" w:w="3346"/>
          </w:tcPr>
          <w:p>
            <w:pPr>
              <w:spacing w:after="60" w:before="40"/>
            </w:pPr>
            <w:r>
              <w:rPr>
                <w:b w:val="0"/>
                <w:sz w:val="18"/>
              </w:rPr>
              <w:t>55.6353</w:t>
            </w:r>
          </w:p>
        </w:tc>
      </w:tr>
    </w:tbl>
    <w:p>
      <w:pPr>
        <w:pStyle w:val="Heading2"/>
      </w:pPr>
      <w:r>
        <w:t>Evidence boundary</w:t>
      </w:r>
    </w:p>
    <w:p>
      <w:r>
        <w:rPr>
          <w:b w:val="0"/>
        </w:rPr>
        <w:t>The frozen simulation varies initial pose, dust layout and incline under its declared protocol. This does not calibrate wet-glass friction, varying dirt colours, shadows, coating wear or hardware vacuum performance. Navigation uses simulator pose; rendered RGB drives contamination detection. Fine-dirt capture is a contact-gated reduced-order mass model, while the larger solid uses rigid-body pushing in a prescribed corridor.</w:t>
      </w:r>
    </w:p>
    <w:p>
      <w:r>
        <w:rPr>
          <w:b w:val="0"/>
        </w:rPr>
        <w:t>Physical containment guards are part of the demonstrated mechanism; their success does not prove unguarded real-world traction. The dock’s charging and emptying counters are modelled service, not tested connectors, airflow or battery recovery.</w:t>
      </w:r>
    </w:p>
    <w:p>
      <w:pPr>
        <w:pStyle w:val="Heading2"/>
      </w:pPr>
      <w:r>
        <w:t>Commercial evidence still needed</w:t>
      </w:r>
    </w:p>
    <w:p>
      <w:r>
        <w:rPr>
          <w:b w:val="0"/>
        </w:rPr>
        <w:t>Measure operator supervision/transfer time, site workload, actual electrical energy, component life, downtime and maintenance. Obtain compatible-module guidance, supplier quotations and pilot customer feedback. Keep these commercial uncertainties separate from controller Monte Carlo statistics.</w:t>
      </w:r>
    </w:p>
    <w:p>
      <w:r>
        <w:br w:type="page"/>
      </w:r>
    </w:p>
    <w:p>
      <w:pPr>
        <w:pStyle w:val="Heading1"/>
      </w:pPr>
      <w:r>
        <w:t>9 · Risk register and FMEA</w:t>
      </w:r>
    </w:p>
    <w:p>
      <w:r>
        <w:rPr>
          <w:b w:val="0"/>
        </w:rPr>
        <w:t>RPN = severity × occurrence × detection, each scored on an ordinal 1–10 scale. These engineering judgements are not estimated probabilities or insurance loss rates. Scores below match the current technical dossier.</w:t>
      </w:r>
    </w:p>
    <w:tbl>
      <w:tblPr>
        <w:tblStyle w:val="TableGrid"/>
        <w:tblW w:type="auto" w:w="0"/>
        <w:tblLayout w:type="fixed"/>
        <w:tblLook w:firstColumn="1" w:firstRow="1" w:lastColumn="0" w:lastRow="0" w:noHBand="0" w:noVBand="1" w:val="04A0"/>
      </w:tblPr>
      <w:tblGrid>
        <w:gridCol w:w="2088"/>
        <w:gridCol w:w="864"/>
        <w:gridCol w:w="792"/>
        <w:gridCol w:w="792"/>
        <w:gridCol w:w="5472"/>
      </w:tblGrid>
      <w:tr>
        <w:trPr>
          <w:tblHeader/>
          <w:cantSplit/>
        </w:trPr>
        <w:tc>
          <w:tcPr>
            <w:tcW w:type="dxa" w:w="2088"/>
            <w:shd w:fill="E5EFF1"/>
          </w:tcPr>
          <w:p>
            <w:pPr>
              <w:spacing w:after="60" w:before="40"/>
            </w:pPr>
            <w:r>
              <w:rPr>
                <w:b/>
                <w:sz w:val="17"/>
              </w:rPr>
              <w:t>Failure mode</w:t>
            </w:r>
          </w:p>
        </w:tc>
        <w:tc>
          <w:tcPr>
            <w:tcW w:type="dxa" w:w="864"/>
            <w:shd w:fill="E5EFF1"/>
          </w:tcPr>
          <w:p>
            <w:pPr>
              <w:spacing w:after="60" w:before="40"/>
            </w:pPr>
            <w:r>
              <w:rPr>
                <w:b/>
                <w:sz w:val="17"/>
              </w:rPr>
              <w:t>S/O/D pre</w:t>
            </w:r>
          </w:p>
        </w:tc>
        <w:tc>
          <w:tcPr>
            <w:tcW w:type="dxa" w:w="792"/>
            <w:shd w:fill="E5EFF1"/>
          </w:tcPr>
          <w:p>
            <w:pPr>
              <w:spacing w:after="60" w:before="40"/>
            </w:pPr>
            <w:r>
              <w:rPr>
                <w:b/>
                <w:sz w:val="17"/>
              </w:rPr>
              <w:t>RPN pre</w:t>
            </w:r>
          </w:p>
        </w:tc>
        <w:tc>
          <w:tcPr>
            <w:tcW w:type="dxa" w:w="792"/>
            <w:shd w:fill="E5EFF1"/>
          </w:tcPr>
          <w:p>
            <w:pPr>
              <w:spacing w:after="60" w:before="40"/>
            </w:pPr>
            <w:r>
              <w:rPr>
                <w:b/>
                <w:sz w:val="17"/>
              </w:rPr>
              <w:t>RPN post</w:t>
            </w:r>
          </w:p>
        </w:tc>
        <w:tc>
          <w:tcPr>
            <w:tcW w:type="dxa" w:w="5472"/>
            <w:shd w:fill="E5EFF1"/>
          </w:tcPr>
          <w:p>
            <w:pPr>
              <w:spacing w:after="60" w:before="40"/>
            </w:pPr>
            <w:r>
              <w:rPr>
                <w:b/>
                <w:sz w:val="17"/>
              </w:rPr>
              <w:t>Mitigation and evidence boundary</w:t>
            </w:r>
          </w:p>
        </w:tc>
      </w:tr>
      <w:tr>
        <w:trPr>
          <w:cantSplit/>
        </w:trPr>
        <w:tc>
          <w:tcPr>
            <w:tcW w:type="dxa" w:w="2088"/>
          </w:tcPr>
          <w:p>
            <w:pPr>
              <w:spacing w:after="60" w:before="40"/>
            </w:pPr>
            <w:r>
              <w:rPr>
                <w:b w:val="0"/>
                <w:sz w:val="17"/>
              </w:rPr>
              <w:t>Crawler slides down-slope on dusty glass (loss of traction)</w:t>
            </w:r>
          </w:p>
        </w:tc>
        <w:tc>
          <w:tcPr>
            <w:tcW w:type="dxa" w:w="864"/>
          </w:tcPr>
          <w:p>
            <w:pPr>
              <w:spacing w:after="60" w:before="40"/>
            </w:pPr>
            <w:r>
              <w:rPr>
                <w:b w:val="0"/>
                <w:sz w:val="17"/>
              </w:rPr>
              <w:t>9/4/8</w:t>
            </w:r>
          </w:p>
        </w:tc>
        <w:tc>
          <w:tcPr>
            <w:tcW w:type="dxa" w:w="792"/>
          </w:tcPr>
          <w:p>
            <w:pPr>
              <w:spacing w:after="60" w:before="40"/>
            </w:pPr>
            <w:r>
              <w:rPr>
                <w:b w:val="0"/>
                <w:sz w:val="17"/>
              </w:rPr>
              <w:t>288</w:t>
            </w:r>
          </w:p>
        </w:tc>
        <w:tc>
          <w:tcPr>
            <w:tcW w:type="dxa" w:w="792"/>
          </w:tcPr>
          <w:p>
            <w:pPr>
              <w:spacing w:after="60" w:before="40"/>
            </w:pPr>
            <w:r>
              <w:rPr>
                <w:b w:val="0"/>
                <w:sz w:val="17"/>
              </w:rPr>
              <w:t>108</w:t>
            </w:r>
          </w:p>
        </w:tc>
        <w:tc>
          <w:tcPr>
            <w:tcW w:type="dxa" w:w="5472"/>
          </w:tcPr>
          <w:p>
            <w:pPr>
              <w:spacing w:after="60" w:before="40"/>
            </w:pPr>
            <w:r>
              <w:rPr>
                <w:b w:val="0"/>
                <w:sz w:val="17"/>
              </w:rPr>
              <w:t>Physical containment guard, bounded return drive, attitude/height stop and logged guard load; guards remain part of the safety model. Post D=3 credits simulation fault detection only.</w:t>
            </w:r>
          </w:p>
        </w:tc>
      </w:tr>
      <w:tr>
        <w:trPr>
          <w:cantSplit/>
        </w:trPr>
        <w:tc>
          <w:tcPr>
            <w:tcW w:type="dxa" w:w="2088"/>
          </w:tcPr>
          <w:p>
            <w:pPr>
              <w:spacing w:after="60" w:before="40"/>
            </w:pPr>
            <w:r>
              <w:rPr>
                <w:b w:val="0"/>
                <w:sz w:val="17"/>
              </w:rPr>
              <w:t>Brush scratches anti-reflective coating</w:t>
            </w:r>
          </w:p>
        </w:tc>
        <w:tc>
          <w:tcPr>
            <w:tcW w:type="dxa" w:w="864"/>
          </w:tcPr>
          <w:p>
            <w:pPr>
              <w:spacing w:after="60" w:before="40"/>
            </w:pPr>
            <w:r>
              <w:rPr>
                <w:b w:val="0"/>
                <w:sz w:val="17"/>
              </w:rPr>
              <w:t>8/4/9</w:t>
            </w:r>
          </w:p>
        </w:tc>
        <w:tc>
          <w:tcPr>
            <w:tcW w:type="dxa" w:w="792"/>
          </w:tcPr>
          <w:p>
            <w:pPr>
              <w:spacing w:after="60" w:before="40"/>
            </w:pPr>
            <w:r>
              <w:rPr>
                <w:b w:val="0"/>
                <w:sz w:val="17"/>
              </w:rPr>
              <w:t>288</w:t>
            </w:r>
          </w:p>
        </w:tc>
        <w:tc>
          <w:tcPr>
            <w:tcW w:type="dxa" w:w="792"/>
          </w:tcPr>
          <w:p>
            <w:pPr>
              <w:spacing w:after="60" w:before="40"/>
            </w:pPr>
            <w:r>
              <w:rPr>
                <w:b w:val="0"/>
                <w:sz w:val="17"/>
              </w:rPr>
              <w:t>288</w:t>
            </w:r>
          </w:p>
        </w:tc>
        <w:tc>
          <w:tcPr>
            <w:tcW w:type="dxa" w:w="5472"/>
          </w:tcPr>
          <w:p>
            <w:pPr>
              <w:spacing w:after="60" w:before="40"/>
            </w:pPr>
            <w:r>
              <w:rPr>
                <w:b w:val="0"/>
                <w:sz w:val="17"/>
              </w:rPr>
              <w:t>Rounded soft-contact brush and load logs support development. Coating wear, grit hardness and allowable local pressure are unvalidated. No reduction credited: post S/O/D unchanged.</w:t>
            </w:r>
          </w:p>
        </w:tc>
      </w:tr>
      <w:tr>
        <w:trPr>
          <w:cantSplit/>
        </w:trPr>
        <w:tc>
          <w:tcPr>
            <w:tcW w:type="dxa" w:w="2088"/>
          </w:tcPr>
          <w:p>
            <w:pPr>
              <w:spacing w:after="60" w:before="40"/>
            </w:pPr>
            <w:r>
              <w:rPr>
                <w:b w:val="0"/>
                <w:sz w:val="17"/>
              </w:rPr>
              <w:t>RGB misses dirt or falsely declares clean</w:t>
            </w:r>
          </w:p>
        </w:tc>
        <w:tc>
          <w:tcPr>
            <w:tcW w:type="dxa" w:w="864"/>
          </w:tcPr>
          <w:p>
            <w:pPr>
              <w:spacing w:after="60" w:before="40"/>
            </w:pPr>
            <w:r>
              <w:rPr>
                <w:b w:val="0"/>
                <w:sz w:val="17"/>
              </w:rPr>
              <w:t>6/5/8</w:t>
            </w:r>
          </w:p>
        </w:tc>
        <w:tc>
          <w:tcPr>
            <w:tcW w:type="dxa" w:w="792"/>
          </w:tcPr>
          <w:p>
            <w:pPr>
              <w:spacing w:after="60" w:before="40"/>
            </w:pPr>
            <w:r>
              <w:rPr>
                <w:b w:val="0"/>
                <w:sz w:val="17"/>
              </w:rPr>
              <w:t>240</w:t>
            </w:r>
          </w:p>
        </w:tc>
        <w:tc>
          <w:tcPr>
            <w:tcW w:type="dxa" w:w="792"/>
          </w:tcPr>
          <w:p>
            <w:pPr>
              <w:spacing w:after="60" w:before="40"/>
            </w:pPr>
            <w:r>
              <w:rPr>
                <w:b w:val="0"/>
                <w:sz w:val="17"/>
              </w:rPr>
              <w:t>90</w:t>
            </w:r>
          </w:p>
        </w:tc>
        <w:tc>
          <w:tcPr>
            <w:tcW w:type="dxa" w:w="5472"/>
          </w:tcPr>
          <w:p>
            <w:pPr>
              <w:spacing w:after="60" w:before="40"/>
            </w:pPr>
            <w:r>
              <w:rPr>
                <w:b w:val="0"/>
                <w:sz w:val="17"/>
              </w:rPr>
              <w:t>Persistent two-frame image trigger; actual camera feeds; independent final residual check rejects false-clean development cases. Post D=3 is offline evaluation detectability, not field camera reliability.</w:t>
            </w:r>
          </w:p>
        </w:tc>
      </w:tr>
      <w:tr>
        <w:trPr>
          <w:cantSplit/>
        </w:trPr>
        <w:tc>
          <w:tcPr>
            <w:tcW w:type="dxa" w:w="2088"/>
          </w:tcPr>
          <w:p>
            <w:pPr>
              <w:spacing w:after="60" w:before="40"/>
            </w:pPr>
            <w:r>
              <w:rPr>
                <w:b w:val="0"/>
                <w:sz w:val="17"/>
              </w:rPr>
              <w:t>Large solid escapes or jams the guide</w:t>
            </w:r>
          </w:p>
        </w:tc>
        <w:tc>
          <w:tcPr>
            <w:tcW w:type="dxa" w:w="864"/>
          </w:tcPr>
          <w:p>
            <w:pPr>
              <w:spacing w:after="60" w:before="40"/>
            </w:pPr>
            <w:r>
              <w:rPr>
                <w:b w:val="0"/>
                <w:sz w:val="17"/>
              </w:rPr>
              <w:t>7/4/7</w:t>
            </w:r>
          </w:p>
        </w:tc>
        <w:tc>
          <w:tcPr>
            <w:tcW w:type="dxa" w:w="792"/>
          </w:tcPr>
          <w:p>
            <w:pPr>
              <w:spacing w:after="60" w:before="40"/>
            </w:pPr>
            <w:r>
              <w:rPr>
                <w:b w:val="0"/>
                <w:sz w:val="17"/>
              </w:rPr>
              <w:t>196</w:t>
            </w:r>
          </w:p>
        </w:tc>
        <w:tc>
          <w:tcPr>
            <w:tcW w:type="dxa" w:w="792"/>
          </w:tcPr>
          <w:p>
            <w:pPr>
              <w:spacing w:after="60" w:before="40"/>
            </w:pPr>
            <w:r>
              <w:rPr>
                <w:b w:val="0"/>
                <w:sz w:val="17"/>
              </w:rPr>
              <w:t>84</w:t>
            </w:r>
          </w:p>
        </w:tc>
        <w:tc>
          <w:tcPr>
            <w:tcW w:type="dxa" w:w="5472"/>
          </w:tcPr>
          <w:p>
            <w:pPr>
              <w:spacing w:after="60" w:before="40"/>
            </w:pPr>
            <w:r>
              <w:rPr>
                <w:b w:val="0"/>
                <w:sz w:val="17"/>
              </w:rPr>
              <w:t>Permanent tray, fixed guide and actual solid/contact logs; success requires final retention. Applies only to the tested lower-strip corridor. Post D=3 credits final logged check.</w:t>
            </w:r>
          </w:p>
        </w:tc>
      </w:tr>
      <w:tr>
        <w:trPr>
          <w:cantSplit/>
        </w:trPr>
        <w:tc>
          <w:tcPr>
            <w:tcW w:type="dxa" w:w="2088"/>
          </w:tcPr>
          <w:p>
            <w:pPr>
              <w:spacing w:after="60" w:before="40"/>
            </w:pPr>
            <w:r>
              <w:rPr>
                <w:b w:val="0"/>
                <w:sz w:val="17"/>
              </w:rPr>
              <w:t>Dock transfer/accounting fault</w:t>
            </w:r>
          </w:p>
        </w:tc>
        <w:tc>
          <w:tcPr>
            <w:tcW w:type="dxa" w:w="864"/>
          </w:tcPr>
          <w:p>
            <w:pPr>
              <w:spacing w:after="60" w:before="40"/>
            </w:pPr>
            <w:r>
              <w:rPr>
                <w:b w:val="0"/>
                <w:sz w:val="17"/>
              </w:rPr>
              <w:t>5/4/7</w:t>
            </w:r>
          </w:p>
        </w:tc>
        <w:tc>
          <w:tcPr>
            <w:tcW w:type="dxa" w:w="792"/>
          </w:tcPr>
          <w:p>
            <w:pPr>
              <w:spacing w:after="60" w:before="40"/>
            </w:pPr>
            <w:r>
              <w:rPr>
                <w:b w:val="0"/>
                <w:sz w:val="17"/>
              </w:rPr>
              <w:t>140</w:t>
            </w:r>
          </w:p>
        </w:tc>
        <w:tc>
          <w:tcPr>
            <w:tcW w:type="dxa" w:w="792"/>
          </w:tcPr>
          <w:p>
            <w:pPr>
              <w:spacing w:after="60" w:before="40"/>
            </w:pPr>
            <w:r>
              <w:rPr>
                <w:b w:val="0"/>
                <w:sz w:val="17"/>
              </w:rPr>
              <w:t>60</w:t>
            </w:r>
          </w:p>
        </w:tc>
        <w:tc>
          <w:tcPr>
            <w:tcW w:type="dxa" w:w="5472"/>
          </w:tcPr>
          <w:p>
            <w:pPr>
              <w:spacing w:after="60" w:before="40"/>
            </w:pPr>
            <w:r>
              <w:rPr>
                <w:b w:val="0"/>
                <w:sz w:val="17"/>
              </w:rPr>
              <w:t>Settled docking, 8 s modelled service, explicit mass balance and charge-energy counters. Post D=3 credits software checks; no airflow, connector or battery hardware reliability claim.</w:t>
            </w:r>
          </w:p>
        </w:tc>
      </w:tr>
    </w:tbl>
    <w:p>
      <w:pPr>
        <w:pStyle w:val="Heading2"/>
      </w:pPr>
      <w:r>
        <w:t>Commercial consequence</w:t>
      </w:r>
    </w:p>
    <w:p>
      <w:r>
        <w:rPr>
          <w:b w:val="0"/>
        </w:rPr>
        <w:t>Traction loss, jams and service failures can increase supervision, recovery, downtime and replacement costs. Those effects motivate the explicit labour terms and sensitivity cases. The current model does not assign a currency value or a probability to catastrophic panel damage.</w:t>
      </w:r>
    </w:p>
    <w:p>
      <w:r>
        <w:rPr>
          <w:b w:val="0"/>
        </w:rPr>
        <w:t>No RPN improvement is claimed for coating scratches: hardware compatibility is untested. Other post-RPN reductions credit only the described software/simulation detection or final logged verification; they do not establish field certification.</w:t>
      </w:r>
    </w:p>
    <w:p>
      <w:r>
        <w:br w:type="page"/>
      </w:r>
    </w:p>
    <w:p>
      <w:pPr>
        <w:pStyle w:val="Heading1"/>
      </w:pPr>
      <w:r>
        <w:t>10 · Decision, deployment plan and viva notes</w:t>
      </w:r>
    </w:p>
    <w:p>
      <w:pPr>
        <w:pStyle w:val="Heading2"/>
      </w:pPr>
      <w:r>
        <w:t>Decision supported by this model</w:t>
      </w:r>
    </w:p>
    <w:p>
      <w:r>
        <w:rPr>
          <w:b w:val="0"/>
        </w:rPr>
        <w:t>Under the base assumptions, recurring operating cost is 61.99% of the manual baseline, with simple capital recovery in about 20.5 months. The lower-confidence success scenario still produces positive operating savings, but real commercial feasibility depends on the declared labour/cost inputs and hardware performance.</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Next gate</w:t>
            </w:r>
          </w:p>
        </w:tc>
        <w:tc>
          <w:tcPr>
            <w:tcW w:type="dxa" w:w="5018"/>
            <w:shd w:fill="E5EFF1"/>
          </w:tcPr>
          <w:p>
            <w:pPr>
              <w:spacing w:after="60" w:before="40"/>
            </w:pPr>
            <w:r>
              <w:rPr>
                <w:b/>
                <w:sz w:val="18"/>
              </w:rPr>
              <w:t>Evidence to collect before a deployment claim</w:t>
            </w:r>
          </w:p>
        </w:tc>
      </w:tr>
      <w:tr>
        <w:trPr>
          <w:cantSplit/>
        </w:trPr>
        <w:tc>
          <w:tcPr>
            <w:tcW w:type="dxa" w:w="5018"/>
          </w:tcPr>
          <w:p>
            <w:pPr>
              <w:spacing w:after="60" w:before="40"/>
            </w:pPr>
            <w:r>
              <w:rPr>
                <w:b w:val="0"/>
                <w:sz w:val="18"/>
              </w:rPr>
              <w:t>Bench prototype</w:t>
            </w:r>
          </w:p>
        </w:tc>
        <w:tc>
          <w:tcPr>
            <w:tcW w:type="dxa" w:w="5018"/>
          </w:tcPr>
          <w:p>
            <w:pPr>
              <w:spacing w:after="60" w:before="40"/>
            </w:pPr>
            <w:r>
              <w:rPr>
                <w:b w:val="0"/>
                <w:sz w:val="18"/>
              </w:rPr>
              <w:t>Measured current/power, motor and brush loads, debris collection, structural attachment and module/coating compatibility.</w:t>
            </w:r>
          </w:p>
        </w:tc>
      </w:tr>
      <w:tr>
        <w:trPr>
          <w:cantSplit/>
        </w:trPr>
        <w:tc>
          <w:tcPr>
            <w:tcW w:type="dxa" w:w="5018"/>
          </w:tcPr>
          <w:p>
            <w:pPr>
              <w:spacing w:after="60" w:before="40"/>
            </w:pPr>
            <w:r>
              <w:rPr>
                <w:b w:val="0"/>
                <w:sz w:val="18"/>
              </w:rPr>
              <w:t>Controlled inclined-panel trial</w:t>
            </w:r>
          </w:p>
        </w:tc>
        <w:tc>
          <w:tcPr>
            <w:tcW w:type="dxa" w:w="5018"/>
          </w:tcPr>
          <w:p>
            <w:pPr>
              <w:spacing w:after="60" w:before="40"/>
            </w:pPr>
            <w:r>
              <w:rPr>
                <w:b w:val="0"/>
                <w:sz w:val="18"/>
              </w:rPr>
              <w:t>Slip/stop behaviour, guarded containment, illumination challenges, edge cases and retained solid collection.</w:t>
            </w:r>
          </w:p>
        </w:tc>
      </w:tr>
      <w:tr>
        <w:trPr>
          <w:cantSplit/>
        </w:trPr>
        <w:tc>
          <w:tcPr>
            <w:tcW w:type="dxa" w:w="5018"/>
          </w:tcPr>
          <w:p>
            <w:pPr>
              <w:spacing w:after="60" w:before="40"/>
            </w:pPr>
            <w:r>
              <w:rPr>
                <w:b w:val="0"/>
                <w:sz w:val="18"/>
              </w:rPr>
              <w:t>Operator pilot</w:t>
            </w:r>
          </w:p>
        </w:tc>
        <w:tc>
          <w:tcPr>
            <w:tcW w:type="dxa" w:w="5018"/>
          </w:tcPr>
          <w:p>
            <w:pPr>
              <w:spacing w:after="60" w:before="40"/>
            </w:pPr>
            <w:r>
              <w:rPr>
                <w:b w:val="0"/>
                <w:sz w:val="18"/>
              </w:rPr>
              <w:t>Measured supervision, transfers, failures, maintenance, workload and actual downtime; replace assumptions in inputs.json.</w:t>
            </w:r>
          </w:p>
        </w:tc>
      </w:tr>
      <w:tr>
        <w:trPr>
          <w:cantSplit/>
        </w:trPr>
        <w:tc>
          <w:tcPr>
            <w:tcW w:type="dxa" w:w="5018"/>
          </w:tcPr>
          <w:p>
            <w:pPr>
              <w:spacing w:after="60" w:before="40"/>
            </w:pPr>
            <w:r>
              <w:rPr>
                <w:b w:val="0"/>
                <w:sz w:val="18"/>
              </w:rPr>
              <w:t>Commercial pilot</w:t>
            </w:r>
          </w:p>
        </w:tc>
        <w:tc>
          <w:tcPr>
            <w:tcW w:type="dxa" w:w="5018"/>
          </w:tcPr>
          <w:p>
            <w:pPr>
              <w:spacing w:after="60" w:before="40"/>
            </w:pPr>
            <w:r>
              <w:rPr>
                <w:b w:val="0"/>
                <w:sz w:val="18"/>
              </w:rPr>
              <w:t>Supplier quotes, customer acceptance, support effort and unit-economics evidence; compare against a documented manual baseline.</w:t>
            </w:r>
          </w:p>
        </w:tc>
      </w:tr>
    </w:tbl>
    <w:p>
      <w:pPr>
        <w:pStyle w:val="Heading2"/>
      </w:pPr>
      <w:r>
        <w:t>Short answers for the business viva</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8"/>
              </w:rPr>
              <w:t>Question</w:t>
            </w:r>
          </w:p>
        </w:tc>
        <w:tc>
          <w:tcPr>
            <w:tcW w:type="dxa" w:w="5018"/>
            <w:shd w:fill="E5EFF1"/>
          </w:tcPr>
          <w:p>
            <w:pPr>
              <w:spacing w:after="60" w:before="40"/>
            </w:pPr>
            <w:r>
              <w:rPr>
                <w:b/>
                <w:sz w:val="18"/>
              </w:rPr>
              <w:t>Answer</w:t>
            </w:r>
          </w:p>
        </w:tc>
      </w:tr>
      <w:tr>
        <w:trPr>
          <w:cantSplit/>
        </w:trPr>
        <w:tc>
          <w:tcPr>
            <w:tcW w:type="dxa" w:w="5018"/>
          </w:tcPr>
          <w:p>
            <w:pPr>
              <w:spacing w:after="60" w:before="40"/>
            </w:pPr>
            <w:r>
              <w:rPr>
                <w:b w:val="0"/>
                <w:sz w:val="18"/>
              </w:rPr>
              <w:t>Why not quote a price?</w:t>
            </w:r>
          </w:p>
        </w:tc>
        <w:tc>
          <w:tcPr>
            <w:tcW w:type="dxa" w:w="5018"/>
          </w:tcPr>
          <w:p>
            <w:pPr>
              <w:spacing w:after="60" w:before="40"/>
            </w:pPr>
            <w:r>
              <w:rPr>
                <w:b w:val="0"/>
                <w:sz w:val="18"/>
              </w:rPr>
              <w:t>The course requires dimensionless comparisons; verified manufacturing costs and customer pricing are not available.</w:t>
            </w:r>
          </w:p>
        </w:tc>
      </w:tr>
      <w:tr>
        <w:trPr>
          <w:cantSplit/>
        </w:trPr>
        <w:tc>
          <w:tcPr>
            <w:tcW w:type="dxa" w:w="5018"/>
          </w:tcPr>
          <w:p>
            <w:pPr>
              <w:spacing w:after="60" w:before="40"/>
            </w:pPr>
            <w:r>
              <w:rPr>
                <w:b w:val="0"/>
                <w:sz w:val="18"/>
              </w:rPr>
              <w:t>Where do the headline numbers come from?</w:t>
            </w:r>
          </w:p>
        </w:tc>
        <w:tc>
          <w:tcPr>
            <w:tcW w:type="dxa" w:w="5018"/>
          </w:tcPr>
          <w:p>
            <w:pPr>
              <w:spacing w:after="60" w:before="40"/>
            </w:pPr>
            <w:r>
              <w:rPr>
                <w:b w:val="0"/>
                <w:sz w:val="18"/>
              </w:rPr>
              <w:t>calculate(inputs, measured) uses retained full-mission timing/work plus labelled assumptions. Results are not typed in as target outputs.</w:t>
            </w:r>
          </w:p>
        </w:tc>
      </w:tr>
      <w:tr>
        <w:trPr>
          <w:cantSplit/>
        </w:trPr>
        <w:tc>
          <w:tcPr>
            <w:tcW w:type="dxa" w:w="5018"/>
          </w:tcPr>
          <w:p>
            <w:pPr>
              <w:spacing w:after="60" w:before="40"/>
            </w:pPr>
            <w:r>
              <w:rPr>
                <w:b w:val="0"/>
                <w:sz w:val="18"/>
              </w:rPr>
              <w:t>Does this remove human work?</w:t>
            </w:r>
          </w:p>
        </w:tc>
        <w:tc>
          <w:tcPr>
            <w:tcW w:type="dxa" w:w="5018"/>
          </w:tcPr>
          <w:p>
            <w:pPr>
              <w:spacing w:after="60" w:before="40"/>
            </w:pPr>
            <w:r>
              <w:rPr>
                <w:b w:val="0"/>
                <w:sz w:val="18"/>
              </w:rPr>
              <w:t>No. The model charges monitoring, all inter-bay transfer/recovery and maintenance. Reclaimed hours represent reallocation potential.</w:t>
            </w:r>
          </w:p>
        </w:tc>
      </w:tr>
      <w:tr>
        <w:trPr>
          <w:cantSplit/>
        </w:trPr>
        <w:tc>
          <w:tcPr>
            <w:tcW w:type="dxa" w:w="5018"/>
          </w:tcPr>
          <w:p>
            <w:pPr>
              <w:spacing w:after="60" w:before="40"/>
            </w:pPr>
            <w:r>
              <w:rPr>
                <w:b w:val="0"/>
                <w:sz w:val="18"/>
              </w:rPr>
              <w:t>Why not claim energy-yield restoration?</w:t>
            </w:r>
          </w:p>
        </w:tc>
        <w:tc>
          <w:tcPr>
            <w:tcW w:type="dxa" w:w="5018"/>
          </w:tcPr>
          <w:p>
            <w:pPr>
              <w:spacing w:after="60" w:before="40"/>
            </w:pPr>
            <w:r>
              <w:rPr>
                <w:b w:val="0"/>
                <w:sz w:val="18"/>
              </w:rPr>
              <w:t>Dust/contact clearance is not electrical PV output. No PV electrical model or field-yield study is part of this result.</w:t>
            </w:r>
          </w:p>
        </w:tc>
      </w:tr>
      <w:tr>
        <w:trPr>
          <w:cantSplit/>
        </w:trPr>
        <w:tc>
          <w:tcPr>
            <w:tcW w:type="dxa" w:w="5018"/>
          </w:tcPr>
          <w:p>
            <w:pPr>
              <w:spacing w:after="60" w:before="40"/>
            </w:pPr>
            <w:r>
              <w:rPr>
                <w:b w:val="0"/>
                <w:sz w:val="18"/>
              </w:rPr>
              <w:t>Why does queueing matter?</w:t>
            </w:r>
          </w:p>
        </w:tc>
        <w:tc>
          <w:tcPr>
            <w:tcW w:type="dxa" w:w="5018"/>
          </w:tcPr>
          <w:p>
            <w:pPr>
              <w:spacing w:after="60" w:before="40"/>
            </w:pPr>
            <w:r>
              <w:rPr>
                <w:b w:val="0"/>
                <w:sz w:val="18"/>
              </w:rPr>
              <w:t>It tests whether scheduled workload is compatible with one system’s service capacity and exposes delay growth near saturation.</w:t>
            </w:r>
          </w:p>
        </w:tc>
      </w:tr>
    </w:tbl>
    <w:p>
      <w:r>
        <w:br w:type="page"/>
      </w:r>
    </w:p>
    <w:p>
      <w:pPr>
        <w:pStyle w:val="Heading1"/>
      </w:pPr>
      <w:r>
        <w:t>11 · Files, reproduction and submission</w:t>
      </w:r>
    </w:p>
    <w:tbl>
      <w:tblPr>
        <w:tblStyle w:val="TableGrid"/>
        <w:tblW w:type="auto" w:w="0"/>
        <w:tblLook w:firstColumn="1" w:firstRow="1" w:lastColumn="0" w:lastRow="0" w:noHBand="0" w:noVBand="1" w:val="04A0"/>
      </w:tblPr>
      <w:tblGrid>
        <w:gridCol w:w="5018"/>
        <w:gridCol w:w="5018"/>
      </w:tblGrid>
      <w:tr>
        <w:trPr>
          <w:tblHeader/>
          <w:cantSplit/>
        </w:trPr>
        <w:tc>
          <w:tcPr>
            <w:tcW w:type="dxa" w:w="5018"/>
            <w:shd w:fill="E5EFF1"/>
          </w:tcPr>
          <w:p>
            <w:pPr>
              <w:spacing w:after="60" w:before="40"/>
            </w:pPr>
            <w:r>
              <w:rPr>
                <w:b/>
                <w:sz w:val="17"/>
              </w:rPr>
              <w:t>File / folder</w:t>
            </w:r>
          </w:p>
        </w:tc>
        <w:tc>
          <w:tcPr>
            <w:tcW w:type="dxa" w:w="5018"/>
            <w:shd w:fill="E5EFF1"/>
          </w:tcPr>
          <w:p>
            <w:pPr>
              <w:spacing w:after="60" w:before="40"/>
            </w:pPr>
            <w:r>
              <w:rPr>
                <w:b/>
                <w:sz w:val="17"/>
              </w:rPr>
              <w:t>Purpose</w:t>
            </w:r>
          </w:p>
        </w:tc>
      </w:tr>
      <w:tr>
        <w:trPr>
          <w:cantSplit/>
        </w:trPr>
        <w:tc>
          <w:tcPr>
            <w:tcW w:type="dxa" w:w="5018"/>
          </w:tcPr>
          <w:p>
            <w:pPr>
              <w:spacing w:after="60" w:before="40"/>
            </w:pPr>
            <w:r>
              <w:rPr>
                <w:b w:val="0"/>
                <w:sz w:val="17"/>
              </w:rPr>
              <w:t>analytics/final_business_model.py</w:t>
            </w:r>
          </w:p>
        </w:tc>
        <w:tc>
          <w:tcPr>
            <w:tcW w:type="dxa" w:w="5018"/>
          </w:tcPr>
          <w:p>
            <w:pPr>
              <w:spacing w:after="60" w:before="40"/>
            </w:pPr>
            <w:r>
              <w:rPr>
                <w:b w:val="0"/>
                <w:sz w:val="17"/>
              </w:rPr>
              <w:t>Actual executable business model, sensitivity and plots</w:t>
            </w:r>
          </w:p>
        </w:tc>
      </w:tr>
      <w:tr>
        <w:trPr>
          <w:cantSplit/>
        </w:trPr>
        <w:tc>
          <w:tcPr>
            <w:tcW w:type="dxa" w:w="5018"/>
          </w:tcPr>
          <w:p>
            <w:pPr>
              <w:spacing w:after="60" w:before="40"/>
            </w:pPr>
            <w:r>
              <w:rPr>
                <w:b w:val="0"/>
                <w:sz w:val="17"/>
              </w:rPr>
              <w:t>analytics/final_business_inputs.json</w:t>
            </w:r>
          </w:p>
        </w:tc>
        <w:tc>
          <w:tcPr>
            <w:tcW w:type="dxa" w:w="5018"/>
          </w:tcPr>
          <w:p>
            <w:pPr>
              <w:spacing w:after="60" w:before="40"/>
            </w:pPr>
            <w:r>
              <w:rPr>
                <w:b w:val="0"/>
                <w:sz w:val="17"/>
              </w:rPr>
              <w:t>Declared commercial/energy assumptions</w:t>
            </w:r>
          </w:p>
        </w:tc>
      </w:tr>
      <w:tr>
        <w:trPr>
          <w:cantSplit/>
        </w:trPr>
        <w:tc>
          <w:tcPr>
            <w:tcW w:type="dxa" w:w="5018"/>
          </w:tcPr>
          <w:p>
            <w:pPr>
              <w:spacing w:after="60" w:before="40"/>
            </w:pPr>
            <w:r>
              <w:rPr>
                <w:b w:val="0"/>
                <w:sz w:val="17"/>
              </w:rPr>
              <w:t>analytics/final_validation_v1/{summary.csv, protocol.json, statistics.json}</w:t>
            </w:r>
          </w:p>
        </w:tc>
        <w:tc>
          <w:tcPr>
            <w:tcW w:type="dxa" w:w="5018"/>
          </w:tcPr>
          <w:p>
            <w:pPr>
              <w:spacing w:after="60" w:before="40"/>
            </w:pPr>
            <w:r>
              <w:rPr>
                <w:b w:val="0"/>
                <w:sz w:val="17"/>
              </w:rPr>
              <w:t>Full 180-attempt summary, selection rules and confidence bound</w:t>
            </w:r>
          </w:p>
        </w:tc>
      </w:tr>
      <w:tr>
        <w:trPr>
          <w:cantSplit/>
        </w:trPr>
        <w:tc>
          <w:tcPr>
            <w:tcW w:type="dxa" w:w="5018"/>
          </w:tcPr>
          <w:p>
            <w:pPr>
              <w:spacing w:after="60" w:before="40"/>
            </w:pPr>
            <w:r>
              <w:rPr>
                <w:b w:val="0"/>
                <w:sz w:val="17"/>
              </w:rPr>
              <w:t>analytics/final_business_v1/{inputs.json, simulation_inputs.json, results.json}</w:t>
            </w:r>
          </w:p>
        </w:tc>
        <w:tc>
          <w:tcPr>
            <w:tcW w:type="dxa" w:w="5018"/>
          </w:tcPr>
          <w:p>
            <w:pPr>
              <w:spacing w:after="60" w:before="40"/>
            </w:pPr>
            <w:r>
              <w:rPr>
                <w:b w:val="0"/>
                <w:sz w:val="17"/>
              </w:rPr>
              <w:t>Retained input snapshot, measured calibration and final outputs</w:t>
            </w:r>
          </w:p>
        </w:tc>
      </w:tr>
      <w:tr>
        <w:trPr>
          <w:cantSplit/>
        </w:trPr>
        <w:tc>
          <w:tcPr>
            <w:tcW w:type="dxa" w:w="5018"/>
          </w:tcPr>
          <w:p>
            <w:pPr>
              <w:spacing w:after="60" w:before="40"/>
            </w:pPr>
            <w:r>
              <w:rPr>
                <w:b w:val="0"/>
                <w:sz w:val="17"/>
              </w:rPr>
              <w:t>analytics/final_business_v1/sensitivity.csv</w:t>
            </w:r>
          </w:p>
        </w:tc>
        <w:tc>
          <w:tcPr>
            <w:tcW w:type="dxa" w:w="5018"/>
          </w:tcPr>
          <w:p>
            <w:pPr>
              <w:spacing w:after="60" w:before="40"/>
            </w:pPr>
            <w:r>
              <w:rPr>
                <w:b w:val="0"/>
                <w:sz w:val="17"/>
              </w:rPr>
              <w:t>All 24 one-at-a-time cases (eight inputs × three factors)</w:t>
            </w:r>
          </w:p>
        </w:tc>
      </w:tr>
      <w:tr>
        <w:trPr>
          <w:cantSplit/>
        </w:trPr>
        <w:tc>
          <w:tcPr>
            <w:tcW w:type="dxa" w:w="5018"/>
          </w:tcPr>
          <w:p>
            <w:pPr>
              <w:spacing w:after="60" w:before="40"/>
            </w:pPr>
            <w:r>
              <w:rPr>
                <w:b w:val="0"/>
                <w:sz w:val="17"/>
              </w:rPr>
              <w:t>business_sensitivity.png / queue_and_labour.png</w:t>
            </w:r>
          </w:p>
        </w:tc>
        <w:tc>
          <w:tcPr>
            <w:tcW w:type="dxa" w:w="5018"/>
          </w:tcPr>
          <w:p>
            <w:pPr>
              <w:spacing w:after="60" w:before="40"/>
            </w:pPr>
            <w:r>
              <w:rPr>
                <w:b w:val="0"/>
                <w:sz w:val="17"/>
              </w:rPr>
              <w:t>Final-analysis figures embedded in this report</w:t>
            </w:r>
          </w:p>
        </w:tc>
      </w:tr>
      <w:tr>
        <w:trPr>
          <w:cantSplit/>
        </w:trPr>
        <w:tc>
          <w:tcPr>
            <w:tcW w:type="dxa" w:w="5018"/>
          </w:tcPr>
          <w:p>
            <w:pPr>
              <w:spacing w:after="60" w:before="40"/>
            </w:pPr>
            <w:r>
              <w:rPr>
                <w:b w:val="0"/>
                <w:sz w:val="17"/>
              </w:rPr>
              <w:t>analytics/final_validation_v1/tilt_*/...</w:t>
            </w:r>
          </w:p>
        </w:tc>
        <w:tc>
          <w:tcPr>
            <w:tcW w:type="dxa" w:w="5018"/>
          </w:tcPr>
          <w:p>
            <w:pPr>
              <w:spacing w:after="60" w:before="40"/>
            </w:pPr>
            <w:r>
              <w:rPr>
                <w:b w:val="0"/>
                <w:sz w:val="17"/>
              </w:rPr>
              <w:t>Bulk raw CSV/XZ telemetry in the full project repository, not duplicated in the business-only package</w:t>
            </w:r>
          </w:p>
        </w:tc>
      </w:tr>
    </w:tbl>
    <w:p>
      <w:pPr>
        <w:pStyle w:val="Heading2"/>
      </w:pPr>
      <w:r>
        <w:t>Run the business model without rerunning MuJoCo</w:t>
      </w:r>
    </w:p>
    <w:p>
      <w:r>
        <w:rPr>
          <w:b w:val="0"/>
        </w:rPr>
        <w:t>From the group folder, use Python 3.12 with numpy, pandas and matplotlib (the existing simulation environment already includes them). The package includes requirements-business.txt for an independent business-only environment.</w:t>
      </w:r>
    </w:p>
    <w:p>
      <w:r>
        <w:rPr>
          <w:b w:val="0"/>
        </w:rPr>
        <w:t>python analytics/final_business_model.py --validation-dir analytics/final_validation_v1 --output-dir analytics/business_recalculated</w:t>
      </w:r>
    </w:p>
    <w:p>
      <w:r>
        <w:rPr>
          <w:b w:val="0"/>
        </w:rPr>
        <w:t>Use a new output directory: the script refuses to overwrite an existing analysis. It loads the saved final evaluation; no new robot simulation is required. Output files are results.json, inputs.json, simulation_inputs.json, sensitivity.csv and the two graphs.</w:t>
      </w:r>
    </w:p>
    <w:p>
      <w:pPr>
        <w:pStyle w:val="Heading2"/>
      </w:pPr>
      <w:r>
        <w:t>What the rubric asks you to submit</w:t>
      </w:r>
    </w:p>
    <w:p>
      <w:r>
        <w:rPr>
          <w:b w:val="0"/>
        </w:rPr>
        <w:t>MS Teams: every member individually attaches the group’s final signed dossier PDF and clicks Turn in. GitHub faculty group folder: filled dossier Word/PDF in docs/, model XML, controller code, business script, genuine trial data and reproducible outputs. LinkedIn: final team-video URL in dossier Section 5. This business report is supporting documentation; it does not replace the Python business script.</w:t>
      </w:r>
    </w:p>
    <w:p>
      <w:r>
        <w:rPr>
          <w:b w:val="0"/>
        </w:rPr>
        <w:t>Source: GRADING_RUBRIC_AND_EVALUATION_POLICY.md in sunny-nanade/NMIMS-MPSTME-MDRIIA-2026, checked at commit d5b7da279a034fcd08b090766ef96ed31b196684. The current 20-mark rubric supersedes the older milestone/optional IEEE-paper track; no PPT is required. See ASSIGNMENT_CHECKLIST.md in the package.</w:t>
      </w:r>
    </w:p>
    <w:p>
      <w:r>
        <w:rPr>
          <w:b w:val="0"/>
        </w:rPr>
        <w:t>Commercial-input evidence is the declared assumption file, not an external quotation. Calculation evidence is the retained simulation summary and final business outputs. The report introduces no sourced Mumbai-yield percentage, measured commercial saving or fabricated market survey.</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MDRIIA · 702CO0E012  |  Scenario economics, calibrated to simulation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717A"/>
        <w:sz w:val="16"/>
      </w:rPr>
      <w:t>GROUP 06  |  SOLAR PANEL CLEANING ROBOT  |  BUSINESS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C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C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53C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