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20590" w14:textId="77777777" w:rsidR="009531D4" w:rsidRDefault="00000000">
      <w:pPr>
        <w:pStyle w:val="Title"/>
        <w:spacing w:after="80"/>
      </w:pPr>
      <w:r>
        <w:t>Global Partners Business Analysis</w:t>
      </w:r>
    </w:p>
    <w:p w14:paraId="097C44DA" w14:textId="77777777" w:rsidR="009531D4" w:rsidRDefault="00000000">
      <w:pPr>
        <w:spacing w:after="120"/>
      </w:pPr>
      <w:r>
        <w:rPr>
          <w:b/>
          <w:bCs/>
          <w:sz w:val="28"/>
          <w:szCs w:val="28"/>
        </w:rPr>
        <w:t>Solution Design Document</w:t>
      </w:r>
    </w:p>
    <w:p w14:paraId="7F6A0302" w14:textId="77777777" w:rsidR="009531D4" w:rsidRDefault="00000000">
      <w:pPr>
        <w:spacing w:after="300"/>
      </w:pPr>
      <w:r>
        <w:rPr>
          <w:i/>
          <w:iCs/>
          <w:color w:val="555555"/>
        </w:rPr>
        <w:t xml:space="preserve">Prepared for SME review  •  Status: In progress, extract pipeline validated  •  Stack: AWS-native pipeline (per project requirement), </w:t>
      </w:r>
      <w:proofErr w:type="spellStart"/>
      <w:r>
        <w:rPr>
          <w:i/>
          <w:iCs/>
          <w:color w:val="555555"/>
        </w:rPr>
        <w:t>QuickSight</w:t>
      </w:r>
      <w:proofErr w:type="spellEnd"/>
      <w:r>
        <w:rPr>
          <w:i/>
          <w:iCs/>
          <w:color w:val="555555"/>
        </w:rPr>
        <w:t xml:space="preserve"> dashboard (SME-approved exception), </w:t>
      </w:r>
      <w:proofErr w:type="spellStart"/>
      <w:r>
        <w:rPr>
          <w:i/>
          <w:iCs/>
          <w:color w:val="555555"/>
        </w:rPr>
        <w:t>PySpark</w:t>
      </w:r>
      <w:proofErr w:type="spellEnd"/>
      <w:r>
        <w:rPr>
          <w:i/>
          <w:iCs/>
          <w:color w:val="555555"/>
        </w:rPr>
        <w:t xml:space="preserve"> mandated for all logic</w:t>
      </w:r>
    </w:p>
    <w:p w14:paraId="21025D30" w14:textId="77777777" w:rsidR="009531D4" w:rsidRDefault="00000000">
      <w:pPr>
        <w:pStyle w:val="Heading1"/>
        <w:spacing w:before="280" w:after="140"/>
      </w:pPr>
      <w:r>
        <w:t>1. Project Overview</w:t>
      </w:r>
    </w:p>
    <w:p w14:paraId="72BDBED8" w14:textId="77777777" w:rsidR="009531D4" w:rsidRDefault="00000000">
      <w:pPr>
        <w:spacing w:after="160"/>
      </w:pPr>
      <w:r>
        <w:t xml:space="preserve">This project builds a customer analytics platform on top of restaurant/food-ordering transaction data, supporting customer lifetime value (CLV), RFM segmentation, churn risk, sales trend, loyalty program, location performance, and discount effectiveness analysis. Per project requirements, all transformation logic must be implemented in </w:t>
      </w:r>
      <w:proofErr w:type="spellStart"/>
      <w:r>
        <w:t>PySpark</w:t>
      </w:r>
      <w:proofErr w:type="spellEnd"/>
      <w:r>
        <w:t>, and the source system is a Microsoft SQL Server database (RDS-hosted), not a flat-file or API source as in prior projects.</w:t>
      </w:r>
    </w:p>
    <w:p w14:paraId="744F5E73" w14:textId="77777777" w:rsidR="009531D4" w:rsidRDefault="00000000">
      <w:pPr>
        <w:spacing w:after="160"/>
      </w:pPr>
      <w:r>
        <w:t xml:space="preserve">The requirements document specifies an AWS-native pipeline architecture with no new third-party software licenses. The dashboard layer was originally specified as </w:t>
      </w:r>
      <w:proofErr w:type="spellStart"/>
      <w:r>
        <w:t>Streamlit</w:t>
      </w:r>
      <w:proofErr w:type="spellEnd"/>
      <w:r>
        <w:t xml:space="preserve">; after SME confirmation, </w:t>
      </w:r>
      <w:proofErr w:type="spellStart"/>
      <w:r>
        <w:t>QuickSight</w:t>
      </w:r>
      <w:proofErr w:type="spellEnd"/>
      <w:r>
        <w:t xml:space="preserve"> was substituted as the AWS-native alternative (see Section 4 and Section 9 for the full reasoning and cost tradeoffs considered).</w:t>
      </w:r>
    </w:p>
    <w:p w14:paraId="23E756E4" w14:textId="77777777" w:rsidR="009531D4" w:rsidRDefault="00000000">
      <w:pPr>
        <w:pStyle w:val="Heading1"/>
        <w:spacing w:before="280" w:after="140"/>
      </w:pPr>
      <w:r>
        <w:t>2. Data Sources &amp; Scope</w:t>
      </w:r>
    </w:p>
    <w:p w14:paraId="7CFD3F11" w14:textId="77777777" w:rsidR="009531D4" w:rsidRDefault="00000000">
      <w:pPr>
        <w:spacing w:after="160"/>
      </w:pPr>
      <w:r>
        <w:t>Three source tables, provided as CSV files and loaded into a self-managed RDS SQL Server Express instance via SSMS's Import Flat File wizard, per the accompanying video walkthrough:</w:t>
      </w:r>
    </w:p>
    <w:p w14:paraId="1A697201" w14:textId="77777777" w:rsidR="009531D4" w:rsidRDefault="00000000">
      <w:pPr>
        <w:pStyle w:val="ListParagraph"/>
        <w:numPr>
          <w:ilvl w:val="0"/>
          <w:numId w:val="1"/>
        </w:numPr>
        <w:spacing w:after="100"/>
      </w:pPr>
      <w:proofErr w:type="spellStart"/>
      <w:r>
        <w:t>order_items</w:t>
      </w:r>
      <w:proofErr w:type="spellEnd"/>
      <w:r>
        <w:t xml:space="preserve"> — 203,519 rows. Order-and-</w:t>
      </w:r>
      <w:proofErr w:type="spellStart"/>
      <w:r>
        <w:t>lineitem</w:t>
      </w:r>
      <w:proofErr w:type="spellEnd"/>
      <w:r>
        <w:t>-level transaction detail: app name, restaurant ID, creation timestamp, order/</w:t>
      </w:r>
      <w:proofErr w:type="spellStart"/>
      <w:r>
        <w:t>lineitem</w:t>
      </w:r>
      <w:proofErr w:type="spellEnd"/>
      <w:r>
        <w:t xml:space="preserve"> IDs, user ID, loyalty flag, item category/name/price/quantity, and a tokenized/masked printed card number.</w:t>
      </w:r>
    </w:p>
    <w:p w14:paraId="5A474988" w14:textId="77777777" w:rsidR="009531D4" w:rsidRDefault="00000000">
      <w:pPr>
        <w:pStyle w:val="ListParagraph"/>
        <w:numPr>
          <w:ilvl w:val="0"/>
          <w:numId w:val="1"/>
        </w:numPr>
        <w:spacing w:after="100"/>
      </w:pPr>
      <w:proofErr w:type="spellStart"/>
      <w:r>
        <w:t>order_item_options</w:t>
      </w:r>
      <w:proofErr w:type="spellEnd"/>
      <w:r>
        <w:t xml:space="preserve"> — 193,017 rows. Modifier/add-on detail per order </w:t>
      </w:r>
      <w:proofErr w:type="spellStart"/>
      <w:r>
        <w:t>lineitem</w:t>
      </w:r>
      <w:proofErr w:type="spellEnd"/>
      <w:r>
        <w:t xml:space="preserve"> (e.g., “Add Bacon,” “No Cheese”), joined to </w:t>
      </w:r>
      <w:proofErr w:type="spellStart"/>
      <w:r>
        <w:t>order_items</w:t>
      </w:r>
      <w:proofErr w:type="spellEnd"/>
      <w:r>
        <w:t xml:space="preserve"> via the composite key ORDER_ID + LINEITEM_ID (no single-column surrogate key exists in the source).</w:t>
      </w:r>
    </w:p>
    <w:p w14:paraId="7BDCD6F2" w14:textId="77777777" w:rsidR="009531D4" w:rsidRDefault="00000000">
      <w:pPr>
        <w:pStyle w:val="ListParagraph"/>
        <w:numPr>
          <w:ilvl w:val="0"/>
          <w:numId w:val="1"/>
        </w:numPr>
        <w:spacing w:after="100"/>
      </w:pPr>
      <w:proofErr w:type="spellStart"/>
      <w:r>
        <w:t>date_dim</w:t>
      </w:r>
      <w:proofErr w:type="spellEnd"/>
      <w:r>
        <w:t xml:space="preserve"> — 365 rows. Calendar dimension: </w:t>
      </w:r>
      <w:proofErr w:type="spellStart"/>
      <w:r>
        <w:t>date_key</w:t>
      </w:r>
      <w:proofErr w:type="spellEnd"/>
      <w:r>
        <w:t xml:space="preserve">, year, month, week, </w:t>
      </w:r>
      <w:proofErr w:type="spellStart"/>
      <w:r>
        <w:t>day_of_week</w:t>
      </w:r>
      <w:proofErr w:type="spellEnd"/>
      <w:r>
        <w:t xml:space="preserve">, </w:t>
      </w:r>
      <w:proofErr w:type="spellStart"/>
      <w:r>
        <w:t>is_weekend</w:t>
      </w:r>
      <w:proofErr w:type="spellEnd"/>
      <w:r>
        <w:t xml:space="preserve">, </w:t>
      </w:r>
      <w:proofErr w:type="spellStart"/>
      <w:r>
        <w:t>is_holiday</w:t>
      </w:r>
      <w:proofErr w:type="spellEnd"/>
      <w:r>
        <w:t xml:space="preserve">, </w:t>
      </w:r>
      <w:proofErr w:type="spellStart"/>
      <w:r>
        <w:t>holiday_name</w:t>
      </w:r>
      <w:proofErr w:type="spellEnd"/>
      <w:r>
        <w:t>.</w:t>
      </w:r>
    </w:p>
    <w:p w14:paraId="622EFB5F" w14:textId="77777777" w:rsidR="009531D4" w:rsidRDefault="00000000">
      <w:pPr>
        <w:spacing w:after="160"/>
      </w:pPr>
      <w:r>
        <w:t>The data is a one-time historical load, confirmed by the SME as intentional: “The idea is to build the pipeline as if it runs daily in production... explain how your pipeline would process new data if it arrived every day” rather than requiring an actual live daily feed for this exercise.</w:t>
      </w:r>
    </w:p>
    <w:p w14:paraId="3F6E5649" w14:textId="77777777" w:rsidR="009531D4" w:rsidRDefault="00000000">
      <w:pPr>
        <w:pStyle w:val="Heading1"/>
        <w:spacing w:before="280" w:after="140"/>
      </w:pPr>
      <w:r>
        <w:t>3. Architecture Overview</w:t>
      </w:r>
    </w:p>
    <w:p w14:paraId="06F10225" w14:textId="77777777" w:rsidR="009531D4" w:rsidRDefault="00000000">
      <w:pPr>
        <w:spacing w:after="160"/>
      </w:pPr>
      <w:r>
        <w:t>A medallion architecture on S3 (raw / processed / marts), driven entirely by Glue ETL (</w:t>
      </w:r>
      <w:proofErr w:type="spellStart"/>
      <w:r>
        <w:t>PySpark</w:t>
      </w:r>
      <w:proofErr w:type="spellEnd"/>
      <w:r>
        <w:t xml:space="preserve">) jobs rather than Glue Python Shell, per the explicit “all logic must use </w:t>
      </w:r>
      <w:proofErr w:type="spellStart"/>
      <w:r>
        <w:t>PySpark</w:t>
      </w:r>
      <w:proofErr w:type="spellEnd"/>
      <w:r>
        <w:t xml:space="preserve">” requirement. RDS SQL Server is the ingestion source; a Glue Connection (JDBC, VPC-attached) provides the extract job access to it. Athena serves as the query engine over the marts layer, with </w:t>
      </w:r>
      <w:proofErr w:type="spellStart"/>
      <w:r>
        <w:t>QuickSight</w:t>
      </w:r>
      <w:proofErr w:type="spellEnd"/>
      <w:r>
        <w:t xml:space="preserve"> as the dashboard layer. Orchestration is handled by a native Glue Workflow scheduled trigger (no separate </w:t>
      </w:r>
      <w:proofErr w:type="spellStart"/>
      <w:r>
        <w:t>EventBridge</w:t>
      </w:r>
      <w:proofErr w:type="spellEnd"/>
      <w:r>
        <w:t xml:space="preserve"> Scheduler — see Section 4). CI/CD is implemented via GitHub Actions using OIDC federation, avoiding any long-lived AWS credentials stored in GitHub.</w:t>
      </w:r>
    </w:p>
    <w:p w14:paraId="66EBEDD3" w14:textId="77777777" w:rsidR="009531D4" w:rsidRDefault="00000000">
      <w:pPr>
        <w:spacing w:after="160"/>
      </w:pPr>
      <w:r>
        <w:t>Stages, in execution order: Glue ETL (</w:t>
      </w:r>
      <w:proofErr w:type="spellStart"/>
      <w:r>
        <w:t>PySpark</w:t>
      </w:r>
      <w:proofErr w:type="spellEnd"/>
      <w:r>
        <w:t xml:space="preserve">) extracts incrementally from RDS into S3 raw/, partitioned by ingestion date; a transform job cleans, standardizes, and joins the three tables into S3 processed/; an aggregate job computes the seven target metric tables into S3 marts/; Athena queries marts/ directly; </w:t>
      </w:r>
      <w:proofErr w:type="spellStart"/>
      <w:r>
        <w:t>QuickSight</w:t>
      </w:r>
      <w:proofErr w:type="spellEnd"/>
      <w:r>
        <w:t xml:space="preserve"> visualizes via Athena.</w:t>
      </w:r>
    </w:p>
    <w:p w14:paraId="040FB430" w14:textId="77777777" w:rsidR="009531D4" w:rsidRDefault="00000000">
      <w:pPr>
        <w:pStyle w:val="Heading1"/>
        <w:spacing w:before="280" w:after="140"/>
      </w:pPr>
      <w:r>
        <w:t>4. Component Rationale</w:t>
      </w:r>
    </w:p>
    <w:p w14:paraId="69804491" w14:textId="77777777" w:rsidR="009531D4" w:rsidRDefault="00000000">
      <w:pPr>
        <w:spacing w:after="160"/>
      </w:pPr>
      <w:r>
        <w:rPr>
          <w:b/>
          <w:bCs/>
        </w:rPr>
        <w:t>Transform engine — Glue ETL (</w:t>
      </w:r>
      <w:proofErr w:type="spellStart"/>
      <w:r>
        <w:rPr>
          <w:b/>
          <w:bCs/>
        </w:rPr>
        <w:t>PySpark</w:t>
      </w:r>
      <w:proofErr w:type="spellEnd"/>
      <w:r>
        <w:rPr>
          <w:b/>
          <w:bCs/>
        </w:rPr>
        <w:t>), not Glue Python Shell</w:t>
      </w:r>
    </w:p>
    <w:p w14:paraId="78D3522D" w14:textId="77777777" w:rsidR="009531D4" w:rsidRDefault="00000000">
      <w:pPr>
        <w:spacing w:after="160"/>
      </w:pPr>
      <w:r>
        <w:t xml:space="preserve">Unlike the Healthcare Metrics project, </w:t>
      </w:r>
      <w:proofErr w:type="spellStart"/>
      <w:r>
        <w:t>PySpark</w:t>
      </w:r>
      <w:proofErr w:type="spellEnd"/>
      <w:r>
        <w:t xml:space="preserve"> here is not a scale-driven choice — the data volume (~400K rows total) would fit comfortably in Python Shell/pandas. It is used because the requirements document explicitly mandates it (“all logics should be done using PYSPARK”). This distinction — a technology choice that is dictated by requirements versus one </w:t>
      </w:r>
      <w:r>
        <w:lastRenderedPageBreak/>
        <w:t>that is the engineer’s own judgment call — is documented here deliberately, since it is the kind of tradeoff-awareness question that comes up in technical interviews.</w:t>
      </w:r>
    </w:p>
    <w:p w14:paraId="5E0490F1" w14:textId="77777777" w:rsidR="009531D4" w:rsidRDefault="00000000">
      <w:pPr>
        <w:spacing w:after="160"/>
      </w:pPr>
      <w:r>
        <w:rPr>
          <w:b/>
          <w:bCs/>
        </w:rPr>
        <w:t>Worker configuration — 2 workers, G.1X (Glue ETL floor)</w:t>
      </w:r>
    </w:p>
    <w:p w14:paraId="70394C7B" w14:textId="77777777" w:rsidR="009531D4" w:rsidRDefault="00000000">
      <w:pPr>
        <w:spacing w:after="160"/>
      </w:pPr>
      <w:r>
        <w:t>Not specified in the requirements document; selected because the data volume does not justify more than the minimum Glue ETL allows. At 2 workers, Glue provisions 1 driver + 1 executor — no actual cross-node parallelism is being exercised, only Spark's API running on effectively single-node compute. This was a deliberate choice, documented explicitly rather than left as an unexamined default, along with a reduced shuffle-partition count (Spark's 200-partition default is excessive for a single executor) and an explicit job timeout (30–60 minutes, rather than Glue's 2880-minute default).</w:t>
      </w:r>
    </w:p>
    <w:p w14:paraId="61381034" w14:textId="77777777" w:rsidR="009531D4" w:rsidRDefault="00000000">
      <w:pPr>
        <w:spacing w:after="160"/>
      </w:pPr>
      <w:r>
        <w:rPr>
          <w:b/>
          <w:bCs/>
        </w:rPr>
        <w:t xml:space="preserve">Dashboard — Amazon </w:t>
      </w:r>
      <w:proofErr w:type="spellStart"/>
      <w:r>
        <w:rPr>
          <w:b/>
          <w:bCs/>
        </w:rPr>
        <w:t>QuickSight</w:t>
      </w:r>
      <w:proofErr w:type="spellEnd"/>
      <w:r>
        <w:rPr>
          <w:b/>
          <w:bCs/>
        </w:rPr>
        <w:t xml:space="preserve">, not </w:t>
      </w:r>
      <w:proofErr w:type="spellStart"/>
      <w:r>
        <w:rPr>
          <w:b/>
          <w:bCs/>
        </w:rPr>
        <w:t>Streamlit</w:t>
      </w:r>
      <w:proofErr w:type="spellEnd"/>
    </w:p>
    <w:p w14:paraId="3ED28F1B" w14:textId="77777777" w:rsidR="009531D4" w:rsidRDefault="00000000">
      <w:pPr>
        <w:spacing w:after="160"/>
      </w:pPr>
      <w:r>
        <w:t xml:space="preserve">The requirements document specifies </w:t>
      </w:r>
      <w:proofErr w:type="spellStart"/>
      <w:r>
        <w:t>Streamlit</w:t>
      </w:r>
      <w:proofErr w:type="spellEnd"/>
      <w:r>
        <w:t>, creating the same apparent AWS-only-vs-</w:t>
      </w:r>
      <w:proofErr w:type="spellStart"/>
      <w:r>
        <w:t>Streamlit</w:t>
      </w:r>
      <w:proofErr w:type="spellEnd"/>
      <w:r>
        <w:t xml:space="preserve"> tension seen on the Healthcare Metrics project. After discussion, </w:t>
      </w:r>
      <w:proofErr w:type="spellStart"/>
      <w:r>
        <w:t>QuickSight</w:t>
      </w:r>
      <w:proofErr w:type="spellEnd"/>
      <w:r>
        <w:t xml:space="preserve"> was proposed as the more strictly AWS-native option and confirmed acceptable by the SME (“</w:t>
      </w:r>
      <w:proofErr w:type="spellStart"/>
      <w:r>
        <w:t>QuickSight</w:t>
      </w:r>
      <w:proofErr w:type="spellEnd"/>
      <w:r>
        <w:t xml:space="preserve"> is completely fine”). Worth noting for the record: </w:t>
      </w:r>
      <w:proofErr w:type="spellStart"/>
      <w:r>
        <w:t>QuickSight</w:t>
      </w:r>
      <w:proofErr w:type="spellEnd"/>
      <w:r>
        <w:t xml:space="preserve"> is a paid, metered AWS service (per-author and per-session-reader billing after an initial trial period), whereas </w:t>
      </w:r>
      <w:proofErr w:type="spellStart"/>
      <w:r>
        <w:t>Streamlit</w:t>
      </w:r>
      <w:proofErr w:type="spellEnd"/>
      <w:r>
        <w:t xml:space="preserve"> is free/open-source with no licensing cost at all — meaning </w:t>
      </w:r>
      <w:proofErr w:type="spellStart"/>
      <w:r>
        <w:t>Streamlit</w:t>
      </w:r>
      <w:proofErr w:type="spellEnd"/>
      <w:r>
        <w:t xml:space="preserve"> likely satisfied the “no new licenses” requirement at least as well as </w:t>
      </w:r>
      <w:proofErr w:type="spellStart"/>
      <w:r>
        <w:t>QuickSight</w:t>
      </w:r>
      <w:proofErr w:type="spellEnd"/>
      <w:r>
        <w:t xml:space="preserve"> does, if not better. The SME's approval resolves the ambiguity regardless.</w:t>
      </w:r>
    </w:p>
    <w:p w14:paraId="2EC8CE16" w14:textId="77777777" w:rsidR="009531D4" w:rsidRDefault="00000000">
      <w:pPr>
        <w:spacing w:after="160"/>
      </w:pPr>
      <w:r>
        <w:rPr>
          <w:b/>
          <w:bCs/>
        </w:rPr>
        <w:t xml:space="preserve">Orchestration — native Glue Workflow scheduled trigger, not </w:t>
      </w:r>
      <w:proofErr w:type="spellStart"/>
      <w:r>
        <w:rPr>
          <w:b/>
          <w:bCs/>
        </w:rPr>
        <w:t>EventBridge</w:t>
      </w:r>
      <w:proofErr w:type="spellEnd"/>
      <w:r>
        <w:rPr>
          <w:b/>
          <w:bCs/>
        </w:rPr>
        <w:t xml:space="preserve"> Scheduler</w:t>
      </w:r>
    </w:p>
    <w:p w14:paraId="6896DC36" w14:textId="77777777" w:rsidR="009531D4" w:rsidRDefault="00000000">
      <w:pPr>
        <w:spacing w:after="160"/>
      </w:pPr>
      <w:r>
        <w:t xml:space="preserve">Per SME feedback on the reviewed architecture diagram (“you can also use glue workflow for scheduling and orchestration”), scheduling is handled by Glue Workflow's own native SCHEDULED trigger type rather than a separate </w:t>
      </w:r>
      <w:proofErr w:type="spellStart"/>
      <w:r>
        <w:t>EventBridge</w:t>
      </w:r>
      <w:proofErr w:type="spellEnd"/>
      <w:r>
        <w:t xml:space="preserve"> Scheduler resource. This removes one service, one IAM trust relationship, and matches the SME's explicit steer.</w:t>
      </w:r>
    </w:p>
    <w:p w14:paraId="7E8AE29F" w14:textId="77777777" w:rsidR="009531D4" w:rsidRDefault="00000000">
      <w:pPr>
        <w:spacing w:after="160"/>
      </w:pPr>
      <w:r>
        <w:rPr>
          <w:b/>
          <w:bCs/>
        </w:rPr>
        <w:t>CI/CD — GitHub Actions with OIDC federation</w:t>
      </w:r>
    </w:p>
    <w:p w14:paraId="3124FA41" w14:textId="77777777" w:rsidR="009531D4" w:rsidRDefault="00000000">
      <w:pPr>
        <w:spacing w:after="160"/>
      </w:pPr>
      <w:r>
        <w:t xml:space="preserve">Not demonstrated in any provided tutorial material; required by Step 7 of the requirements document (“Create a CI/CD pipeline using </w:t>
      </w:r>
      <w:proofErr w:type="spellStart"/>
      <w:r>
        <w:t>github</w:t>
      </w:r>
      <w:proofErr w:type="spellEnd"/>
      <w:r>
        <w:t xml:space="preserve">”) with no accompanying implementation guidance. GitHub Actions was selected over AWS </w:t>
      </w:r>
      <w:proofErr w:type="spellStart"/>
      <w:r>
        <w:t>CodePipeline</w:t>
      </w:r>
      <w:proofErr w:type="spellEnd"/>
      <w:r>
        <w:t xml:space="preserve"> because the requirement's literal wording centers GitHub as both trigger and execution environment, and because Step 3's AWS-only clause is scoped to the pipeline architecture (ingest/transform/store), not CI/CD — the same structural pattern already established for the dashboard layer. Authentication uses GitHub's OIDC provider federating to an IAM role, avoiding stored AWS access keys in GitHub secrets.</w:t>
      </w:r>
    </w:p>
    <w:p w14:paraId="72A15944" w14:textId="77777777" w:rsidR="009531D4" w:rsidRDefault="00000000">
      <w:pPr>
        <w:spacing w:after="160"/>
      </w:pPr>
      <w:r>
        <w:rPr>
          <w:b/>
          <w:bCs/>
        </w:rPr>
        <w:t>Incremental extraction — SSM Parameter Store checkpoint, full pull + Spark-side filter</w:t>
      </w:r>
    </w:p>
    <w:p w14:paraId="32EA74BF" w14:textId="77777777" w:rsidR="009531D4" w:rsidRDefault="00000000">
      <w:pPr>
        <w:spacing w:after="160"/>
      </w:pPr>
      <w:r>
        <w:t xml:space="preserve">A checkpoint (last-extracted CREATION_TIME_UTC) is stored in SSM Parameter Store and read/written by the extract job, matching the pattern used on Healthcare Metrics. Query-pushdown via the JDBC connector's “query” option (combined with a named Glue Connection) was attempted first but abandoned after hitting a documented AWS Glue bug (“key not found: location” / “key not found: </w:t>
      </w:r>
      <w:proofErr w:type="spellStart"/>
      <w:r>
        <w:t>url</w:t>
      </w:r>
      <w:proofErr w:type="spellEnd"/>
      <w:r>
        <w:t xml:space="preserve">”, reported across multiple AWS </w:t>
      </w:r>
      <w:proofErr w:type="spellStart"/>
      <w:r>
        <w:t>re:Post</w:t>
      </w:r>
      <w:proofErr w:type="spellEnd"/>
      <w:r>
        <w:t xml:space="preserve"> threads for this exact combination). The working alternative: pull each table in full via “</w:t>
      </w:r>
      <w:proofErr w:type="spellStart"/>
      <w:r>
        <w:t>dbtable</w:t>
      </w:r>
      <w:proofErr w:type="spellEnd"/>
      <w:r>
        <w:t>” and filter/join in Spark after the read. At this data volume, the cost of a full pull is negligible, and this sidesteps the connector bug entirely rather than fighting it.</w:t>
      </w:r>
    </w:p>
    <w:p w14:paraId="678DA4B7" w14:textId="77777777" w:rsidR="009531D4" w:rsidRDefault="00000000">
      <w:pPr>
        <w:pStyle w:val="Heading1"/>
        <w:spacing w:before="280" w:after="140"/>
      </w:pPr>
      <w:r>
        <w:t>5. S3 Bucket &amp; Folder Architecture</w:t>
      </w:r>
    </w:p>
    <w:p w14:paraId="3FF4FECF" w14:textId="77777777" w:rsidR="009531D4" w:rsidRDefault="00000000">
      <w:pPr>
        <w:spacing w:after="160"/>
      </w:pPr>
      <w:r>
        <w:t>Single bucket (</w:t>
      </w:r>
      <w:proofErr w:type="spellStart"/>
      <w:r>
        <w:t>dea</w:t>
      </w:r>
      <w:proofErr w:type="spellEnd"/>
      <w:r>
        <w:t>-global-partners-</w:t>
      </w:r>
      <w:proofErr w:type="spellStart"/>
      <w:r>
        <w:t>rhk</w:t>
      </w:r>
      <w:proofErr w:type="spellEnd"/>
      <w:r>
        <w:t>), same one-bucket rationale as Healthcare Metrics: simpler IAM policy scoping, no per-bucket overhead. Block Public Access fully enabled, versioning enabled (given this project's repeated-run design makes rollback protection more valuable than on a single-run project), SSE-KMS default encryption using the AWS-managed key.</w:t>
      </w:r>
    </w:p>
    <w:p w14:paraId="34E02E7B" w14:textId="77777777" w:rsidR="009531D4" w:rsidRDefault="00000000">
      <w:pPr>
        <w:pStyle w:val="ListParagraph"/>
        <w:numPr>
          <w:ilvl w:val="0"/>
          <w:numId w:val="1"/>
        </w:numPr>
        <w:spacing w:after="100"/>
      </w:pPr>
      <w:r>
        <w:t>raw/ — partitioned by dt=&lt;ingestion date&gt;, per table (</w:t>
      </w:r>
      <w:proofErr w:type="spellStart"/>
      <w:r>
        <w:t>order_items</w:t>
      </w:r>
      <w:proofErr w:type="spellEnd"/>
      <w:r>
        <w:t xml:space="preserve">, </w:t>
      </w:r>
      <w:proofErr w:type="spellStart"/>
      <w:r>
        <w:t>order_item_options</w:t>
      </w:r>
      <w:proofErr w:type="spellEnd"/>
      <w:r>
        <w:t xml:space="preserve">, </w:t>
      </w:r>
      <w:proofErr w:type="spellStart"/>
      <w:r>
        <w:t>date_dim</w:t>
      </w:r>
      <w:proofErr w:type="spellEnd"/>
      <w:r>
        <w:t>). Written by the Glue ETL extract job.</w:t>
      </w:r>
    </w:p>
    <w:p w14:paraId="1763F203" w14:textId="77777777" w:rsidR="009531D4" w:rsidRDefault="00000000">
      <w:pPr>
        <w:pStyle w:val="ListParagraph"/>
        <w:numPr>
          <w:ilvl w:val="0"/>
          <w:numId w:val="1"/>
        </w:numPr>
        <w:spacing w:after="100"/>
      </w:pPr>
      <w:r>
        <w:t>processed/ — cleaned, typed, joined output. Written by the transform job (not yet built at time of writing).</w:t>
      </w:r>
    </w:p>
    <w:p w14:paraId="704821F2" w14:textId="77777777" w:rsidR="009531D4" w:rsidRDefault="00000000">
      <w:pPr>
        <w:pStyle w:val="ListParagraph"/>
        <w:numPr>
          <w:ilvl w:val="0"/>
          <w:numId w:val="1"/>
        </w:numPr>
        <w:spacing w:after="100"/>
      </w:pPr>
      <w:r>
        <w:t>marts/ — seven metric tables (CLV daily, RFM segments, churn risk, sales trends, loyalty impact, location performance, discount effectiveness). Written by the aggregate job (not yet built).</w:t>
      </w:r>
    </w:p>
    <w:p w14:paraId="1A4B3E59" w14:textId="77777777" w:rsidR="009531D4" w:rsidRDefault="00000000">
      <w:pPr>
        <w:pStyle w:val="ListParagraph"/>
        <w:numPr>
          <w:ilvl w:val="0"/>
          <w:numId w:val="1"/>
        </w:numPr>
        <w:spacing w:after="100"/>
      </w:pPr>
      <w:r>
        <w:t xml:space="preserve">scripts/ — Glue ETL </w:t>
      </w:r>
      <w:proofErr w:type="spellStart"/>
      <w:r>
        <w:t>PySpark</w:t>
      </w:r>
      <w:proofErr w:type="spellEnd"/>
      <w:r>
        <w:t xml:space="preserve"> job scripts, deployed here by GitHub Actions CD rather than left in Glue's auto-created default assets bucket.</w:t>
      </w:r>
    </w:p>
    <w:p w14:paraId="53A39281" w14:textId="77777777" w:rsidR="009531D4" w:rsidRDefault="00000000">
      <w:pPr>
        <w:pStyle w:val="ListParagraph"/>
        <w:numPr>
          <w:ilvl w:val="0"/>
          <w:numId w:val="1"/>
        </w:numPr>
        <w:spacing w:after="100"/>
      </w:pPr>
      <w:proofErr w:type="spellStart"/>
      <w:r>
        <w:t>athena</w:t>
      </w:r>
      <w:proofErr w:type="spellEnd"/>
      <w:r>
        <w:t>-results/ — Athena query output location.</w:t>
      </w:r>
    </w:p>
    <w:p w14:paraId="45384537" w14:textId="77777777" w:rsidR="009531D4" w:rsidRDefault="00000000">
      <w:pPr>
        <w:pStyle w:val="Heading1"/>
        <w:spacing w:before="280" w:after="140"/>
      </w:pPr>
      <w:r>
        <w:lastRenderedPageBreak/>
        <w:t>6. VPC Networking &amp; Connectivity</w:t>
      </w:r>
    </w:p>
    <w:p w14:paraId="1AC42D78" w14:textId="77777777" w:rsidR="009531D4" w:rsidRDefault="00000000">
      <w:pPr>
        <w:spacing w:after="160"/>
      </w:pPr>
      <w:r>
        <w:t>This section documents a significant, non-obvious body of troubleshooting work, since connecting a VPC-attached Glue ETL job to RDS and to supporting AWS services required considerably more infrastructure than a typical “AWS-to-AWS” connection would suggest. Full incident-level detail is preserved separately in glue_rds_connection_troubleshooting_writeup.md; this section summarizes the resulting architecture and the key governing fact behind it.</w:t>
      </w:r>
    </w:p>
    <w:p w14:paraId="731109F1" w14:textId="77777777" w:rsidR="009531D4" w:rsidRDefault="00000000">
      <w:pPr>
        <w:spacing w:after="160"/>
      </w:pPr>
      <w:r>
        <w:rPr>
          <w:b/>
          <w:bCs/>
        </w:rPr>
        <w:t>Governing fact: Glue's elastic network interfaces (ENIs) are private-IP-only by design</w:t>
      </w:r>
    </w:p>
    <w:p w14:paraId="6FB748FA" w14:textId="77777777" w:rsidR="009531D4" w:rsidRDefault="00000000">
      <w:pPr>
        <w:spacing w:after="160"/>
      </w:pPr>
      <w:r>
        <w:t>Per AWS's own Glue documentation: “Each elastic network interface is assigned a private IP address from the IP address range within the subnet you specified. No public IP addresses are assigned.” This holds regardless of the subnet's own public-IP/Internet-Gateway configuration. Consequently, every AWS service the Glue job needs to reach outside RDS itself requires an explicit private network path (a VPC endpoint), even though the subnet is otherwise correctly configured as “public.”</w:t>
      </w:r>
    </w:p>
    <w:p w14:paraId="65778459" w14:textId="77777777" w:rsidR="009531D4" w:rsidRDefault="00000000">
      <w:pPr>
        <w:spacing w:after="160"/>
      </w:pPr>
      <w:r>
        <w:rPr>
          <w:b/>
          <w:bCs/>
        </w:rPr>
        <w:t>VPC endpoints provisioned</w:t>
      </w:r>
    </w:p>
    <w:p w14:paraId="351D28F8" w14:textId="77777777" w:rsidR="009531D4" w:rsidRDefault="00000000">
      <w:pPr>
        <w:pStyle w:val="ListParagraph"/>
        <w:numPr>
          <w:ilvl w:val="0"/>
          <w:numId w:val="1"/>
        </w:numPr>
        <w:spacing w:after="100"/>
      </w:pPr>
      <w:r>
        <w:t>STS (interface) — required for the job to assume its IAM role.</w:t>
      </w:r>
    </w:p>
    <w:p w14:paraId="3AB97561" w14:textId="77777777" w:rsidR="009531D4" w:rsidRDefault="00000000">
      <w:pPr>
        <w:pStyle w:val="ListParagraph"/>
        <w:numPr>
          <w:ilvl w:val="0"/>
          <w:numId w:val="1"/>
        </w:numPr>
        <w:spacing w:after="100"/>
      </w:pPr>
      <w:r>
        <w:t>Secrets Manager (interface) — required to retrieve RDS credentials referenced by the Glue Connection.</w:t>
      </w:r>
    </w:p>
    <w:p w14:paraId="77D8E86C" w14:textId="77777777" w:rsidR="009531D4" w:rsidRDefault="00000000">
      <w:pPr>
        <w:pStyle w:val="ListParagraph"/>
        <w:numPr>
          <w:ilvl w:val="0"/>
          <w:numId w:val="1"/>
        </w:numPr>
        <w:spacing w:after="100"/>
      </w:pPr>
      <w:r>
        <w:t>SSM (interface) — required for the checkpoint read/write (boto3 calls, not covered by the Glue Connection's own VPC routing).</w:t>
      </w:r>
    </w:p>
    <w:p w14:paraId="57595D6F" w14:textId="77777777" w:rsidR="009531D4" w:rsidRDefault="00000000">
      <w:pPr>
        <w:pStyle w:val="ListParagraph"/>
        <w:numPr>
          <w:ilvl w:val="0"/>
          <w:numId w:val="1"/>
        </w:numPr>
        <w:spacing w:after="100"/>
      </w:pPr>
      <w:r>
        <w:t>CloudWatch Logs (interface) — required for job logging.</w:t>
      </w:r>
    </w:p>
    <w:p w14:paraId="1A62623D" w14:textId="77777777" w:rsidR="009531D4" w:rsidRDefault="00000000">
      <w:pPr>
        <w:pStyle w:val="ListParagraph"/>
        <w:numPr>
          <w:ilvl w:val="0"/>
          <w:numId w:val="1"/>
        </w:numPr>
        <w:spacing w:after="100"/>
      </w:pPr>
      <w:r>
        <w:t>S3 (gateway, free) — required to write extract output; gateway endpoints attach via a route table entry rather than an ENI and carry no hourly cost, unlike the four interface endpoints above.</w:t>
      </w:r>
    </w:p>
    <w:p w14:paraId="4B5F7BC0" w14:textId="77777777" w:rsidR="009531D4" w:rsidRDefault="00000000">
      <w:pPr>
        <w:spacing w:after="160"/>
      </w:pPr>
      <w:r>
        <w:rPr>
          <w:b/>
          <w:bCs/>
        </w:rPr>
        <w:t>Security group — global-partners-</w:t>
      </w:r>
      <w:proofErr w:type="spellStart"/>
      <w:r>
        <w:rPr>
          <w:b/>
          <w:bCs/>
        </w:rPr>
        <w:t>sql</w:t>
      </w:r>
      <w:proofErr w:type="spellEnd"/>
      <w:r>
        <w:rPr>
          <w:b/>
          <w:bCs/>
        </w:rPr>
        <w:t>-sg</w:t>
      </w:r>
    </w:p>
    <w:p w14:paraId="291B5A6E" w14:textId="77777777" w:rsidR="009531D4" w:rsidRDefault="00000000">
      <w:pPr>
        <w:spacing w:after="160"/>
      </w:pPr>
      <w:r>
        <w:t>Three inbound rules were ultimately required: MSSQL/1433 from the developer's IP (SSMS access), MSSQL/1433 self-referencing (Glue-to-RDS), and — the rule that resolved the final, hardest-to-diagnose connection failure — ALL TCP self-referencing. Per AWS's Glue troubleshooting documentation: “Apache Spark requires bidirectional connectivity among driver and executor nodes. One of the security groups needs to allow ingress rules on all TCP ports.” The narrower, service-specific self-referencing rules (1433, 443) were necessary but not sufficient; Spark's own internal driver/executor coordination traffic required the broader rule.</w:t>
      </w:r>
    </w:p>
    <w:p w14:paraId="1968F419" w14:textId="77777777" w:rsidR="009531D4" w:rsidRDefault="00000000">
      <w:pPr>
        <w:spacing w:after="160"/>
      </w:pPr>
      <w:r>
        <w:rPr>
          <w:b/>
          <w:bCs/>
        </w:rPr>
        <w:t xml:space="preserve">IAM gap identified: </w:t>
      </w:r>
      <w:proofErr w:type="spellStart"/>
      <w:r>
        <w:rPr>
          <w:b/>
          <w:bCs/>
        </w:rPr>
        <w:t>AWSGlueServiceRole</w:t>
      </w:r>
      <w:proofErr w:type="spellEnd"/>
      <w:r>
        <w:rPr>
          <w:b/>
          <w:bCs/>
        </w:rPr>
        <w:t xml:space="preserve"> is missing ec2:DescribeVpcs</w:t>
      </w:r>
    </w:p>
    <w:p w14:paraId="6A691728" w14:textId="77777777" w:rsidR="009531D4" w:rsidRDefault="00000000">
      <w:pPr>
        <w:spacing w:after="160"/>
      </w:pPr>
      <w:r>
        <w:t xml:space="preserve">The AWS-managed policy </w:t>
      </w:r>
      <w:proofErr w:type="spellStart"/>
      <w:r>
        <w:t>AWSGlueServiceRole</w:t>
      </w:r>
      <w:proofErr w:type="spellEnd"/>
      <w:r>
        <w:t>, the standard baseline for Glue jobs needing VPC access, does not include ec2:DescribeVpcs, despite AWS's own Glue VPC-connection documentation listing it as required. Confirmed directly via the IAM console (action shown as “No access” under the attached policy). Resolved via a small inline policy on the extract role granting this one action, following AWS's own sample policy for this exact scenario. This was a genuine gap in AWS's own managed policy, not a misconfiguration.</w:t>
      </w:r>
    </w:p>
    <w:p w14:paraId="5CAA3C96" w14:textId="77777777" w:rsidR="009531D4" w:rsidRDefault="00000000">
      <w:pPr>
        <w:spacing w:after="160"/>
      </w:pPr>
      <w:r>
        <w:rPr>
          <w:b/>
          <w:bCs/>
        </w:rPr>
        <w:t>Considered and rejected: NAT Gateway</w:t>
      </w:r>
    </w:p>
    <w:p w14:paraId="09E32548" w14:textId="77777777" w:rsidR="009531D4" w:rsidRDefault="00000000">
      <w:pPr>
        <w:spacing w:after="160"/>
      </w:pPr>
      <w:r>
        <w:t>A single NAT Gateway (≈$32/month plus data processing) was evaluated as a simpler alternative to provisioning one VPC endpoint per AWS service, since it removes the need to know the complete service dependency list upfront. Rejected in favor of continuing with the endpoint-per-service approach (≈$22/month for the three interface endpoints, S3 gateway endpoint free) given this project's small scale and the fact that the full endpoint list, once identified, resolved the issue without further surprises. Documented here as a deliberate cost/risk tradeoff, revisit if this pattern needs to scale to additional data sources.</w:t>
      </w:r>
    </w:p>
    <w:p w14:paraId="6A19E603" w14:textId="77777777" w:rsidR="009531D4" w:rsidRDefault="00000000">
      <w:pPr>
        <w:pStyle w:val="Heading1"/>
        <w:spacing w:before="280" w:after="140"/>
      </w:pPr>
      <w:r>
        <w:t>7. IAM Roles &amp; Policies</w:t>
      </w:r>
    </w:p>
    <w:p w14:paraId="7E99FD64" w14:textId="77777777" w:rsidR="009531D4" w:rsidRDefault="00000000">
      <w:pPr>
        <w:spacing w:after="160"/>
      </w:pPr>
      <w:r>
        <w:t>Following the same least-privilege, new-roles-per-project discipline established on Healthcare Metrics (existing roles were not reused or widened to cover this project, even where permission shapes were similar) — four Glue service roles plus one CI/CD federation role:</w:t>
      </w:r>
    </w:p>
    <w:p w14:paraId="749AF2A4" w14:textId="77777777" w:rsidR="009531D4" w:rsidRDefault="00000000">
      <w:pPr>
        <w:pStyle w:val="ListParagraph"/>
        <w:numPr>
          <w:ilvl w:val="0"/>
          <w:numId w:val="1"/>
        </w:numPr>
        <w:spacing w:after="100"/>
      </w:pPr>
      <w:proofErr w:type="spellStart"/>
      <w:r>
        <w:t>dea</w:t>
      </w:r>
      <w:proofErr w:type="spellEnd"/>
      <w:r>
        <w:t xml:space="preserve">-global-partners-glue-extract-role — RDS → S3 raw/. The only role needing VPC networking permissions (via </w:t>
      </w:r>
      <w:proofErr w:type="spellStart"/>
      <w:r>
        <w:t>AWSGlueServiceRole</w:t>
      </w:r>
      <w:proofErr w:type="spellEnd"/>
      <w:r>
        <w:t xml:space="preserve"> plus the ec2:DescribeVpcs inline policy) and Secrets Manager access.</w:t>
      </w:r>
    </w:p>
    <w:p w14:paraId="775B6D98" w14:textId="77777777" w:rsidR="009531D4" w:rsidRDefault="00000000">
      <w:pPr>
        <w:pStyle w:val="ListParagraph"/>
        <w:numPr>
          <w:ilvl w:val="0"/>
          <w:numId w:val="1"/>
        </w:numPr>
        <w:spacing w:after="100"/>
      </w:pPr>
      <w:proofErr w:type="spellStart"/>
      <w:r>
        <w:t>dea</w:t>
      </w:r>
      <w:proofErr w:type="spellEnd"/>
      <w:r>
        <w:t>-global-partners-glue-transform-role — S3 raw/ → processed/. No VPC/Secrets Manager access needed.</w:t>
      </w:r>
    </w:p>
    <w:p w14:paraId="09884F57" w14:textId="77777777" w:rsidR="009531D4" w:rsidRDefault="00000000">
      <w:pPr>
        <w:pStyle w:val="ListParagraph"/>
        <w:numPr>
          <w:ilvl w:val="0"/>
          <w:numId w:val="1"/>
        </w:numPr>
        <w:spacing w:after="100"/>
      </w:pPr>
      <w:proofErr w:type="spellStart"/>
      <w:r>
        <w:lastRenderedPageBreak/>
        <w:t>dea</w:t>
      </w:r>
      <w:proofErr w:type="spellEnd"/>
      <w:r>
        <w:t>-global-partners-glue-aggregate-role — S3 processed/ → marts/.</w:t>
      </w:r>
    </w:p>
    <w:p w14:paraId="4D587E78" w14:textId="77777777" w:rsidR="009531D4" w:rsidRDefault="00000000">
      <w:pPr>
        <w:pStyle w:val="ListParagraph"/>
        <w:numPr>
          <w:ilvl w:val="0"/>
          <w:numId w:val="1"/>
        </w:numPr>
        <w:spacing w:after="100"/>
      </w:pPr>
      <w:proofErr w:type="spellStart"/>
      <w:r>
        <w:t>dea</w:t>
      </w:r>
      <w:proofErr w:type="spellEnd"/>
      <w:r>
        <w:t>-global-partners-glue-crawler-role — read across all three S3 layers, write to Glue Data Catalog.</w:t>
      </w:r>
    </w:p>
    <w:p w14:paraId="56F88E78" w14:textId="77777777" w:rsidR="009531D4" w:rsidRDefault="00000000">
      <w:pPr>
        <w:pStyle w:val="ListParagraph"/>
        <w:numPr>
          <w:ilvl w:val="0"/>
          <w:numId w:val="1"/>
        </w:numPr>
        <w:spacing w:after="100"/>
      </w:pPr>
      <w:proofErr w:type="spellStart"/>
      <w:r>
        <w:t>dea</w:t>
      </w:r>
      <w:proofErr w:type="spellEnd"/>
      <w:r>
        <w:t>-global-partners-</w:t>
      </w:r>
      <w:proofErr w:type="spellStart"/>
      <w:r>
        <w:t>github</w:t>
      </w:r>
      <w:proofErr w:type="spellEnd"/>
      <w:r>
        <w:t xml:space="preserve">-actions-role — federated via GitHub's OIDC provider (token.actions.githubusercontent.com), scoped to this repository/branch via a </w:t>
      </w:r>
      <w:proofErr w:type="spellStart"/>
      <w:r>
        <w:t>StringLike</w:t>
      </w:r>
      <w:proofErr w:type="spellEnd"/>
      <w:r>
        <w:t xml:space="preserve"> trust condition. No long-lived AWS credentials stored in GitHub.</w:t>
      </w:r>
    </w:p>
    <w:p w14:paraId="187E795F" w14:textId="77777777" w:rsidR="009531D4" w:rsidRDefault="00000000">
      <w:pPr>
        <w:spacing w:after="160"/>
      </w:pPr>
      <w:r>
        <w:t>A permissions gap was found and fixed during initial job testing: the extract role's original policy only granted S3 access to raw/*, but Glue itself needs s3:GetObject on the script file (under scripts/*) as a bootstrap step, before the job's own code ever runs. This is a distinct requirement from what the job's runtime logic needs, and was not accounted for in the original least-privilege scoping. Fixed by adding a scripts/* read statement; the same gap will need the same fix applied proactively to the transform and aggregate roles once those jobs are built, rather than waiting to hit the identical error twice more.</w:t>
      </w:r>
    </w:p>
    <w:p w14:paraId="4702FAF1" w14:textId="77777777" w:rsidR="009531D4" w:rsidRDefault="00000000">
      <w:pPr>
        <w:pStyle w:val="Heading1"/>
        <w:spacing w:before="280" w:after="140"/>
      </w:pPr>
      <w:r>
        <w:t>8. ETL / Data Processing Plan</w:t>
      </w:r>
    </w:p>
    <w:p w14:paraId="5861C9B0" w14:textId="77777777" w:rsidR="009531D4" w:rsidRDefault="00000000">
      <w:pPr>
        <w:spacing w:after="160"/>
      </w:pPr>
      <w:r>
        <w:rPr>
          <w:b/>
          <w:bCs/>
        </w:rPr>
        <w:t xml:space="preserve">Extract (Glue ETL, </w:t>
      </w:r>
      <w:proofErr w:type="spellStart"/>
      <w:r>
        <w:rPr>
          <w:b/>
          <w:bCs/>
        </w:rPr>
        <w:t>PySpark</w:t>
      </w:r>
      <w:proofErr w:type="spellEnd"/>
      <w:r>
        <w:rPr>
          <w:b/>
          <w:bCs/>
        </w:rPr>
        <w:t>) — built and validated</w:t>
      </w:r>
    </w:p>
    <w:p w14:paraId="3A83527C" w14:textId="77777777" w:rsidR="009531D4" w:rsidRDefault="00000000">
      <w:pPr>
        <w:spacing w:after="160"/>
      </w:pPr>
      <w:r>
        <w:t xml:space="preserve">Reads a checkpoint (last-extracted CREATION_TIME_UTC) from SSM Parameter Store, defaulting to 1900-01-01 if the parameter does not yet exist (first-run behavior). Pulls </w:t>
      </w:r>
      <w:proofErr w:type="spellStart"/>
      <w:r>
        <w:t>order_items</w:t>
      </w:r>
      <w:proofErr w:type="spellEnd"/>
      <w:r>
        <w:t xml:space="preserve"> and </w:t>
      </w:r>
      <w:proofErr w:type="spellStart"/>
      <w:r>
        <w:t>order_item_options</w:t>
      </w:r>
      <w:proofErr w:type="spellEnd"/>
      <w:r>
        <w:t xml:space="preserve"> in full via </w:t>
      </w:r>
      <w:proofErr w:type="spellStart"/>
      <w:r>
        <w:t>dbtable</w:t>
      </w:r>
      <w:proofErr w:type="spellEnd"/>
      <w:r>
        <w:t xml:space="preserve">, filters/joins in Spark against the checkpoint, and writes only new rows to S3 raw/ (skipped entirely if zero new rows, to avoid empty output files). </w:t>
      </w:r>
      <w:proofErr w:type="spellStart"/>
      <w:r>
        <w:t>date_dim</w:t>
      </w:r>
      <w:proofErr w:type="spellEnd"/>
      <w:r>
        <w:t xml:space="preserve"> is pulled and written in full on every run, unconditionally, since it carries no incremental logic. All three writes use .coalesce(1) to produce a single output file per table per run rather than Spark's default output partitioning, which initially fragmented </w:t>
      </w:r>
      <w:proofErr w:type="spellStart"/>
      <w:r>
        <w:t>date_dim</w:t>
      </w:r>
      <w:proofErr w:type="spellEnd"/>
      <w:r>
        <w:t xml:space="preserve"> into 20 files (~2.5KB each) and </w:t>
      </w:r>
      <w:proofErr w:type="spellStart"/>
      <w:r>
        <w:t>order_item_options</w:t>
      </w:r>
      <w:proofErr w:type="spellEnd"/>
      <w:r>
        <w:t xml:space="preserve"> into 4, confirmed via direct row-count verification to be Spark's default partitioning behavior, not duplicate data from repeated run attempts.</w:t>
      </w:r>
    </w:p>
    <w:p w14:paraId="5B0027F3" w14:textId="77777777" w:rsidR="009531D4" w:rsidRDefault="00000000">
      <w:pPr>
        <w:spacing w:after="160"/>
      </w:pPr>
      <w:r>
        <w:rPr>
          <w:b/>
          <w:bCs/>
        </w:rPr>
        <w:t>Verified: incremental filter behavior</w:t>
      </w:r>
    </w:p>
    <w:p w14:paraId="30098B5E" w14:textId="77777777" w:rsidR="009531D4" w:rsidRDefault="00000000">
      <w:pPr>
        <w:spacing w:after="160"/>
      </w:pPr>
      <w:r>
        <w:t xml:space="preserve">After the initial full historical load (checkpoint defaulted to 1900-01-01, correctly pulling all rows), a subsequent run against an unchanged source correctly returned zero new rows for both </w:t>
      </w:r>
      <w:proofErr w:type="spellStart"/>
      <w:r>
        <w:t>order_items</w:t>
      </w:r>
      <w:proofErr w:type="spellEnd"/>
      <w:r>
        <w:t xml:space="preserve"> and </w:t>
      </w:r>
      <w:proofErr w:type="spellStart"/>
      <w:r>
        <w:t>order_item_options</w:t>
      </w:r>
      <w:proofErr w:type="spellEnd"/>
      <w:r>
        <w:t xml:space="preserve"> and skipped the S3 write entirely, confirmed via job log output (“</w:t>
      </w:r>
      <w:proofErr w:type="spellStart"/>
      <w:r>
        <w:t>order_items</w:t>
      </w:r>
      <w:proofErr w:type="spellEnd"/>
      <w:r>
        <w:t xml:space="preserve">: 0 new rows since checkpoint”). This is direct evidence the checkpoint-based incremental filter functions as designed, not just a description of intended behavior. </w:t>
      </w:r>
      <w:proofErr w:type="spellStart"/>
      <w:r>
        <w:t>date_dim</w:t>
      </w:r>
      <w:proofErr w:type="spellEnd"/>
      <w:r>
        <w:t xml:space="preserve"> continued writing its full 365 rows on this same run, as expected given its unconditional design.</w:t>
      </w:r>
    </w:p>
    <w:p w14:paraId="793452D0" w14:textId="77777777" w:rsidR="009531D4" w:rsidRDefault="00000000">
      <w:pPr>
        <w:spacing w:after="160"/>
      </w:pPr>
      <w:r>
        <w:rPr>
          <w:b/>
          <w:bCs/>
        </w:rPr>
        <w:t>Known operational gotcha: deleting raw/ output without resetting the checkpoint creates a data gap</w:t>
      </w:r>
    </w:p>
    <w:p w14:paraId="6759E235" w14:textId="77777777" w:rsidR="009531D4" w:rsidRDefault="00000000">
      <w:pPr>
        <w:spacing w:after="160"/>
      </w:pPr>
      <w:r>
        <w:t>During small-files remediation, the original fragmented raw/ files were deleted before rerunning the corrected script. Because the prior successful run had already advanced the checkpoint, the corrected run found zero new rows and correctly wrote nothing — leaving the full historical dataset absent from S3 entirely (present only in RDS). The incremental job has no mechanism to detect that previously-extracted output was removed downstream, since the checkpoint tracks source watermark position only, not destination file state. Recovery requires manually resetting the checkpoint parameter to force a full historical re-pull. Documented here as a known limitation of watermark-based incremental design generally, not specific to an implementation bug.</w:t>
      </w:r>
    </w:p>
    <w:p w14:paraId="7E47F3C7" w14:textId="77777777" w:rsidR="009531D4" w:rsidRDefault="00000000">
      <w:pPr>
        <w:spacing w:after="160"/>
      </w:pPr>
      <w:r>
        <w:rPr>
          <w:b/>
          <w:bCs/>
        </w:rPr>
        <w:t xml:space="preserve">Transform and Aggregate (Glue ETL, </w:t>
      </w:r>
      <w:proofErr w:type="spellStart"/>
      <w:r>
        <w:rPr>
          <w:b/>
          <w:bCs/>
        </w:rPr>
        <w:t>PySpark</w:t>
      </w:r>
      <w:proofErr w:type="spellEnd"/>
      <w:r>
        <w:rPr>
          <w:b/>
          <w:bCs/>
        </w:rPr>
        <w:t>) — not yet built</w:t>
      </w:r>
    </w:p>
    <w:p w14:paraId="2960020B" w14:textId="77777777" w:rsidR="009531D4" w:rsidRDefault="00000000">
      <w:pPr>
        <w:spacing w:after="160"/>
      </w:pPr>
      <w:r>
        <w:t xml:space="preserve">Transform: standardize column names/types, parse mixed-format date fields explicitly per format (see Section 9), join </w:t>
      </w:r>
      <w:proofErr w:type="spellStart"/>
      <w:r>
        <w:t>order_items</w:t>
      </w:r>
      <w:proofErr w:type="spellEnd"/>
      <w:r>
        <w:t xml:space="preserve"> to </w:t>
      </w:r>
      <w:proofErr w:type="spellStart"/>
      <w:r>
        <w:t>order_item_options</w:t>
      </w:r>
      <w:proofErr w:type="spellEnd"/>
      <w:r>
        <w:t xml:space="preserve"> on the composite ORDER_ID + LINEITEM_ID key, write to processed/. Aggregate: compute the seven target metric tables (CLV at daily grain, RFM segments, churn risk indicators, sales trend/seasonality, loyalty impact, location performance, discount/pricing effectiveness) into marts/.</w:t>
      </w:r>
    </w:p>
    <w:p w14:paraId="286BA522" w14:textId="77777777" w:rsidR="00FC4F9C" w:rsidRPr="00FC4F9C" w:rsidRDefault="00FC4F9C" w:rsidP="00FC4F9C">
      <w:pPr>
        <w:spacing w:after="160"/>
      </w:pPr>
      <w:r w:rsidRPr="00FC4F9C">
        <w:rPr>
          <w:b/>
          <w:bCs/>
        </w:rPr>
        <w:t xml:space="preserve">Aggregate job (Glue ETL, </w:t>
      </w:r>
      <w:proofErr w:type="spellStart"/>
      <w:r w:rsidRPr="00FC4F9C">
        <w:rPr>
          <w:b/>
          <w:bCs/>
        </w:rPr>
        <w:t>PySpark</w:t>
      </w:r>
      <w:proofErr w:type="spellEnd"/>
      <w:r w:rsidRPr="00FC4F9C">
        <w:rPr>
          <w:b/>
          <w:bCs/>
        </w:rPr>
        <w:t>) — in progress, one metric validated</w:t>
      </w:r>
    </w:p>
    <w:p w14:paraId="44AAD4E1" w14:textId="77777777" w:rsidR="00FC4F9C" w:rsidRPr="00FC4F9C" w:rsidRDefault="00FC4F9C" w:rsidP="00FC4F9C">
      <w:pPr>
        <w:spacing w:after="160"/>
      </w:pPr>
      <w:r w:rsidRPr="00FC4F9C">
        <w:t xml:space="preserve">Aggregation logic runs entirely in </w:t>
      </w:r>
      <w:proofErr w:type="spellStart"/>
      <w:r w:rsidRPr="00FC4F9C">
        <w:t>PySpark</w:t>
      </w:r>
      <w:proofErr w:type="spellEnd"/>
      <w:r w:rsidRPr="00FC4F9C">
        <w:t xml:space="preserve"> within a single Glue ETL job, not via Athena CTAS — a deliberate divergence from the Healthcare Metrics project's aggregation approach, driven by this project's explicit "all logics should be done using PYSPARK" requirement. Athena's role here is limited to read-only querying of the finished marts/ tables for </w:t>
      </w:r>
      <w:proofErr w:type="spellStart"/>
      <w:r w:rsidRPr="00FC4F9C">
        <w:t>QuickSight</w:t>
      </w:r>
      <w:proofErr w:type="spellEnd"/>
      <w:r w:rsidRPr="00FC4F9C">
        <w:t>.</w:t>
      </w:r>
    </w:p>
    <w:p w14:paraId="68B5992C" w14:textId="77777777" w:rsidR="00FC4F9C" w:rsidRPr="00FC4F9C" w:rsidRDefault="00FC4F9C" w:rsidP="00FC4F9C">
      <w:pPr>
        <w:spacing w:after="160"/>
      </w:pPr>
      <w:r w:rsidRPr="00FC4F9C">
        <w:t xml:space="preserve">This is the first point in the pipeline where </w:t>
      </w:r>
      <w:proofErr w:type="spellStart"/>
      <w:r w:rsidRPr="00FC4F9C">
        <w:t>order_items</w:t>
      </w:r>
      <w:proofErr w:type="spellEnd"/>
      <w:r w:rsidRPr="00FC4F9C">
        <w:t xml:space="preserve"> and </w:t>
      </w:r>
      <w:proofErr w:type="spellStart"/>
      <w:r w:rsidRPr="00FC4F9C">
        <w:t>order_item_options</w:t>
      </w:r>
      <w:proofErr w:type="spellEnd"/>
      <w:r w:rsidRPr="00FC4F9C">
        <w:t xml:space="preserve"> are actually joined — deliberately deferred from the transform job to avoid fanning out </w:t>
      </w:r>
      <w:proofErr w:type="spellStart"/>
      <w:r w:rsidRPr="00FC4F9C">
        <w:t>order_items</w:t>
      </w:r>
      <w:proofErr w:type="spellEnd"/>
      <w:r w:rsidRPr="00FC4F9C">
        <w:t>' grain before it's needed. Per-line-item total revenue (base item price × quantity, plus the summed price × quantity of all attached options) is computed once and shared across metrics that need it.</w:t>
      </w:r>
    </w:p>
    <w:p w14:paraId="19C21A3C" w14:textId="77777777" w:rsidR="00FC4F9C" w:rsidRPr="00FC4F9C" w:rsidRDefault="00FC4F9C" w:rsidP="00FC4F9C">
      <w:pPr>
        <w:spacing w:after="160"/>
      </w:pPr>
      <w:r w:rsidRPr="00FC4F9C">
        <w:rPr>
          <w:b/>
          <w:bCs/>
        </w:rPr>
        <w:t>CLV (daily grain) — built and verified.</w:t>
      </w:r>
      <w:r w:rsidRPr="00FC4F9C">
        <w:t xml:space="preserve"> Grain: one row per </w:t>
      </w:r>
      <w:proofErr w:type="spellStart"/>
      <w:r w:rsidRPr="00FC4F9C">
        <w:t>user_id</w:t>
      </w:r>
      <w:proofErr w:type="spellEnd"/>
      <w:r w:rsidRPr="00FC4F9C">
        <w:t xml:space="preserve"> per date the customer actually placed an order (not a full calendar spine of every day for every customer — on non-order days, cumulative CLV is unchanged by construction, so a forward-filled row adds no information a dashboard can't infer from a step chart; documented as a deliberate scale-driven </w:t>
      </w:r>
      <w:r w:rsidRPr="00FC4F9C">
        <w:lastRenderedPageBreak/>
        <w:t>simplification). Cumulative CLV computed via a Spark window function (</w:t>
      </w:r>
      <w:proofErr w:type="spellStart"/>
      <w:r w:rsidRPr="00FC4F9C">
        <w:t>partitionBy</w:t>
      </w:r>
      <w:proofErr w:type="spellEnd"/>
      <w:r w:rsidRPr="00FC4F9C">
        <w:t>(</w:t>
      </w:r>
      <w:proofErr w:type="spellStart"/>
      <w:r w:rsidRPr="00FC4F9C">
        <w:t>user_id</w:t>
      </w:r>
      <w:proofErr w:type="spellEnd"/>
      <w:r w:rsidRPr="00FC4F9C">
        <w:t>).</w:t>
      </w:r>
      <w:proofErr w:type="spellStart"/>
      <w:r w:rsidRPr="00FC4F9C">
        <w:t>orderBy</w:t>
      </w:r>
      <w:proofErr w:type="spellEnd"/>
      <w:r w:rsidRPr="00FC4F9C">
        <w:t>(</w:t>
      </w:r>
      <w:proofErr w:type="spellStart"/>
      <w:r w:rsidRPr="00FC4F9C">
        <w:t>order_date</w:t>
      </w:r>
      <w:proofErr w:type="spellEnd"/>
      <w:r w:rsidRPr="00FC4F9C">
        <w:t xml:space="preserve">), running sum). Line items with a null </w:t>
      </w:r>
      <w:proofErr w:type="spellStart"/>
      <w:r w:rsidRPr="00FC4F9C">
        <w:t>user_id</w:t>
      </w:r>
      <w:proofErr w:type="spellEnd"/>
      <w:r w:rsidRPr="00FC4F9C">
        <w:t xml:space="preserve"> are excluded from CLV entirely (no customer to attribute the spend to) — confirmed via job logs: 17,808 of 203,519 total line items (8.75%) excluded, leaving 100,084 customer-day rows written. </w:t>
      </w:r>
      <w:r w:rsidRPr="00FC4F9C">
        <w:rPr>
          <w:b/>
          <w:bCs/>
        </w:rPr>
        <w:t>Verified correct</w:t>
      </w:r>
      <w:r w:rsidRPr="00FC4F9C">
        <w:t>, not just "ran without error": downloaded output and confirmed cumulative CLV is monotonically non-decreasing for every customer (0 violations found), the direct proof the window function's running-total logic behaves as designed.</w:t>
      </w:r>
    </w:p>
    <w:p w14:paraId="1DC2F822" w14:textId="77777777" w:rsidR="00FC4F9C" w:rsidRDefault="00FC4F9C">
      <w:pPr>
        <w:spacing w:after="160"/>
      </w:pPr>
    </w:p>
    <w:p w14:paraId="633B3770" w14:textId="77777777" w:rsidR="009531D4" w:rsidRDefault="00000000">
      <w:pPr>
        <w:pStyle w:val="Heading1"/>
        <w:spacing w:before="280" w:after="140"/>
      </w:pPr>
      <w:r>
        <w:t>9. Known Data Quality Issues</w:t>
      </w:r>
    </w:p>
    <w:p w14:paraId="71CA9C8D" w14:textId="77777777" w:rsidR="009531D4" w:rsidRDefault="00000000">
      <w:pPr>
        <w:pStyle w:val="ListParagraph"/>
        <w:numPr>
          <w:ilvl w:val="0"/>
          <w:numId w:val="1"/>
        </w:numPr>
        <w:spacing w:after="100"/>
      </w:pPr>
      <w:proofErr w:type="spellStart"/>
      <w:r>
        <w:t>order_item_options</w:t>
      </w:r>
      <w:proofErr w:type="spellEnd"/>
      <w:r>
        <w:t xml:space="preserve"> → </w:t>
      </w:r>
      <w:proofErr w:type="spellStart"/>
      <w:r>
        <w:t>order_items</w:t>
      </w:r>
      <w:proofErr w:type="spellEnd"/>
      <w:r>
        <w:t xml:space="preserve"> join: 28 of 193,017 </w:t>
      </w:r>
      <w:proofErr w:type="spellStart"/>
      <w:r>
        <w:t>order_item_options</w:t>
      </w:r>
      <w:proofErr w:type="spellEnd"/>
      <w:r>
        <w:t xml:space="preserve"> rows (0.0145%) reference an ORDER_ID with no corresponding row in </w:t>
      </w:r>
      <w:proofErr w:type="spellStart"/>
      <w:r>
        <w:t>order_items</w:t>
      </w:r>
      <w:proofErr w:type="spellEnd"/>
      <w:r>
        <w:t xml:space="preserve"> at all (confirmed via LEFT JOIN diagnostic — true orphans, not a null-LINEITEM_ID edge case). Excluded from the extract via the inner join; documented as a genuine source-data gap, not a join-logic defect.</w:t>
      </w:r>
    </w:p>
    <w:p w14:paraId="04E4B766" w14:textId="77777777" w:rsidR="009531D4" w:rsidRDefault="00000000">
      <w:pPr>
        <w:pStyle w:val="ListParagraph"/>
        <w:numPr>
          <w:ilvl w:val="0"/>
          <w:numId w:val="1"/>
        </w:numPr>
        <w:spacing w:after="100"/>
      </w:pPr>
      <w:proofErr w:type="spellStart"/>
      <w:r>
        <w:t>date_key</w:t>
      </w:r>
      <w:proofErr w:type="spellEnd"/>
      <w:r>
        <w:t xml:space="preserve"> (</w:t>
      </w:r>
      <w:proofErr w:type="spellStart"/>
      <w:r>
        <w:t>date_dim</w:t>
      </w:r>
      <w:proofErr w:type="spellEnd"/>
      <w:r>
        <w:t xml:space="preserve">) is stored as a DD-MM-YYYY string (e.g., ‘16-10-2023’), not ISO format. This does not sort or compare correctly as plain text and must be explicitly parsed to a real date type in the transform stage (e.g., </w:t>
      </w:r>
      <w:proofErr w:type="spellStart"/>
      <w:r>
        <w:t>to_date</w:t>
      </w:r>
      <w:proofErr w:type="spellEnd"/>
      <w:r>
        <w:t>(col, ‘dd-MM-</w:t>
      </w:r>
      <w:proofErr w:type="spellStart"/>
      <w:r>
        <w:t>yyyy</w:t>
      </w:r>
      <w:proofErr w:type="spellEnd"/>
      <w:r>
        <w:t>’)) rather than relying on string comparison or an assumed ISO ordering downstream.</w:t>
      </w:r>
    </w:p>
    <w:p w14:paraId="555C865E" w14:textId="77777777" w:rsidR="009531D4" w:rsidRDefault="00000000">
      <w:pPr>
        <w:pStyle w:val="ListParagraph"/>
        <w:numPr>
          <w:ilvl w:val="0"/>
          <w:numId w:val="1"/>
        </w:numPr>
        <w:spacing w:after="100"/>
      </w:pPr>
      <w:proofErr w:type="spellStart"/>
      <w:r>
        <w:t>order_items.CREATION_TIME_UTC</w:t>
      </w:r>
      <w:proofErr w:type="spellEnd"/>
      <w:r>
        <w:t xml:space="preserve"> and related date fields contain mixed date formats across rows (e.g., both M/D/Y and D/M/Y patterns observed during early data review). Requires explicit per-format parsing in the transform stage rather than a single automatic type inference, to avoid silent </w:t>
      </w:r>
      <w:proofErr w:type="spellStart"/>
      <w:r>
        <w:t>misparsing</w:t>
      </w:r>
      <w:proofErr w:type="spellEnd"/>
      <w:r>
        <w:t xml:space="preserve"> (a row matching one format's assumption can parse successfully but incorrectly if the true source convention differed row-to-row).</w:t>
      </w:r>
    </w:p>
    <w:p w14:paraId="599B9478" w14:textId="77777777" w:rsidR="009531D4" w:rsidRDefault="00000000">
      <w:pPr>
        <w:pStyle w:val="ListParagraph"/>
        <w:numPr>
          <w:ilvl w:val="0"/>
          <w:numId w:val="1"/>
        </w:numPr>
        <w:spacing w:after="100"/>
      </w:pPr>
      <w:r>
        <w:t>PRINTED_CARD_NUMBER loaded as varchar, not a numeric type, despite looking numeric in preview rows — per the requirements doc's own “String” type designation and the field being described as tokenized/masked, meaning some values may contain non-numeric masking characters not visible in a small preview sample.</w:t>
      </w:r>
    </w:p>
    <w:p w14:paraId="409BB502" w14:textId="77777777" w:rsidR="009531D4" w:rsidRDefault="00000000">
      <w:pPr>
        <w:pStyle w:val="ListParagraph"/>
        <w:numPr>
          <w:ilvl w:val="0"/>
          <w:numId w:val="1"/>
        </w:numPr>
        <w:spacing w:after="100"/>
      </w:pPr>
      <w:proofErr w:type="spellStart"/>
      <w:r>
        <w:t>is_weekend</w:t>
      </w:r>
      <w:proofErr w:type="spellEnd"/>
      <w:r>
        <w:t xml:space="preserve"> / </w:t>
      </w:r>
      <w:proofErr w:type="spellStart"/>
      <w:r>
        <w:t>is_holiday</w:t>
      </w:r>
      <w:proofErr w:type="spellEnd"/>
      <w:r>
        <w:t xml:space="preserve"> loaded as bit — confirmed clean (no blank/non-standard values) via preview before commit.</w:t>
      </w:r>
    </w:p>
    <w:p w14:paraId="307BD968" w14:textId="77777777" w:rsidR="009531D4" w:rsidRDefault="00000000">
      <w:pPr>
        <w:pStyle w:val="Heading1"/>
        <w:spacing w:before="280" w:after="140"/>
      </w:pPr>
      <w:r>
        <w:t>10. Cost Considerations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3800"/>
      </w:tblGrid>
      <w:tr w:rsidR="009531D4" w14:paraId="7D88B255" w14:textId="77777777">
        <w:tblPrEx>
          <w:tblCellMar>
            <w:top w:w="0" w:type="dxa"/>
            <w:bottom w:w="0" w:type="dxa"/>
          </w:tblCellMar>
        </w:tblPrEx>
        <w:trPr>
          <w:tblHeader/>
        </w:trPr>
        <w:tc>
          <w:tcPr>
            <w:tcW w:w="3200" w:type="dxa"/>
            <w:shd w:val="clear" w:color="auto" w:fill="DDEBF7"/>
          </w:tcPr>
          <w:p w14:paraId="1A502FCB" w14:textId="77777777" w:rsidR="009531D4" w:rsidRDefault="00000000">
            <w:r>
              <w:rPr>
                <w:b/>
                <w:bCs/>
              </w:rPr>
              <w:t>Service</w:t>
            </w:r>
          </w:p>
        </w:tc>
        <w:tc>
          <w:tcPr>
            <w:tcW w:w="3000" w:type="dxa"/>
            <w:shd w:val="clear" w:color="auto" w:fill="DDEBF7"/>
          </w:tcPr>
          <w:p w14:paraId="11463D64" w14:textId="77777777" w:rsidR="009531D4" w:rsidRDefault="00000000">
            <w:r>
              <w:rPr>
                <w:b/>
                <w:bCs/>
              </w:rPr>
              <w:t>Est. monthly cost driver</w:t>
            </w:r>
          </w:p>
        </w:tc>
        <w:tc>
          <w:tcPr>
            <w:tcW w:w="3800" w:type="dxa"/>
            <w:shd w:val="clear" w:color="auto" w:fill="DDEBF7"/>
          </w:tcPr>
          <w:p w14:paraId="4EADD31C" w14:textId="77777777" w:rsidR="009531D4" w:rsidRDefault="00000000">
            <w:r>
              <w:rPr>
                <w:b/>
                <w:bCs/>
              </w:rPr>
              <w:t>Notes</w:t>
            </w:r>
          </w:p>
        </w:tc>
      </w:tr>
      <w:tr w:rsidR="009531D4" w14:paraId="79738F15" w14:textId="77777777">
        <w:tblPrEx>
          <w:tblCellMar>
            <w:top w:w="0" w:type="dxa"/>
            <w:bottom w:w="0" w:type="dxa"/>
          </w:tblCellMar>
        </w:tblPrEx>
        <w:tc>
          <w:tcPr>
            <w:tcW w:w="3200" w:type="dxa"/>
          </w:tcPr>
          <w:p w14:paraId="002E6CEE" w14:textId="77777777" w:rsidR="009531D4" w:rsidRDefault="00000000">
            <w:r>
              <w:t>RDS (db.t3.small)</w:t>
            </w:r>
          </w:p>
        </w:tc>
        <w:tc>
          <w:tcPr>
            <w:tcW w:w="3000" w:type="dxa"/>
          </w:tcPr>
          <w:p w14:paraId="1015984B" w14:textId="77777777" w:rsidR="009531D4" w:rsidRDefault="00000000">
            <w:r>
              <w:t>~$25–30/</w:t>
            </w:r>
            <w:proofErr w:type="spellStart"/>
            <w:r>
              <w:t>mo</w:t>
            </w:r>
            <w:proofErr w:type="spellEnd"/>
            <w:r>
              <w:t xml:space="preserve"> if left running</w:t>
            </w:r>
          </w:p>
        </w:tc>
        <w:tc>
          <w:tcPr>
            <w:tcW w:w="3800" w:type="dxa"/>
          </w:tcPr>
          <w:p w14:paraId="278020B5" w14:textId="77777777" w:rsidR="009531D4" w:rsidRDefault="00000000">
            <w:r>
              <w:t>Upgraded from db.t3.micro (free-tier) after repeated RESOURCE_SEMAPHORE memory-grant failures during index builds and full-table JDBC reads; free-tier micro proved insufficient for this workload's actual memory pressure, not just a temporary fix.</w:t>
            </w:r>
          </w:p>
        </w:tc>
      </w:tr>
      <w:tr w:rsidR="009531D4" w14:paraId="36FC5C3B" w14:textId="77777777">
        <w:tblPrEx>
          <w:tblCellMar>
            <w:top w:w="0" w:type="dxa"/>
            <w:bottom w:w="0" w:type="dxa"/>
          </w:tblCellMar>
        </w:tblPrEx>
        <w:tc>
          <w:tcPr>
            <w:tcW w:w="3200" w:type="dxa"/>
          </w:tcPr>
          <w:p w14:paraId="6145080C" w14:textId="77777777" w:rsidR="009531D4" w:rsidRDefault="00000000">
            <w:r>
              <w:t>RDS storage (gp2, 20 GiB)</w:t>
            </w:r>
          </w:p>
        </w:tc>
        <w:tc>
          <w:tcPr>
            <w:tcW w:w="3000" w:type="dxa"/>
          </w:tcPr>
          <w:p w14:paraId="30529219" w14:textId="77777777" w:rsidR="009531D4" w:rsidRDefault="00000000">
            <w:r>
              <w:t>Free tier eligible</w:t>
            </w:r>
          </w:p>
        </w:tc>
        <w:tc>
          <w:tcPr>
            <w:tcW w:w="3800" w:type="dxa"/>
          </w:tcPr>
          <w:p w14:paraId="6ABB8579" w14:textId="77777777" w:rsidR="009531D4" w:rsidRDefault="00000000">
            <w:r>
              <w:t>gp2 specifically — gp3 is not covered by the RDS free tier even at the same size.</w:t>
            </w:r>
          </w:p>
        </w:tc>
      </w:tr>
      <w:tr w:rsidR="009531D4" w14:paraId="7C226341" w14:textId="77777777">
        <w:tblPrEx>
          <w:tblCellMar>
            <w:top w:w="0" w:type="dxa"/>
            <w:bottom w:w="0" w:type="dxa"/>
          </w:tblCellMar>
        </w:tblPrEx>
        <w:tc>
          <w:tcPr>
            <w:tcW w:w="3200" w:type="dxa"/>
          </w:tcPr>
          <w:p w14:paraId="0A6B2525" w14:textId="77777777" w:rsidR="009531D4" w:rsidRDefault="00000000">
            <w:r>
              <w:t>VPC interface endpoints (STS, Secrets Manager, SSM, CloudWatch Logs)</w:t>
            </w:r>
          </w:p>
        </w:tc>
        <w:tc>
          <w:tcPr>
            <w:tcW w:w="3000" w:type="dxa"/>
          </w:tcPr>
          <w:p w14:paraId="4B7CAA86" w14:textId="77777777" w:rsidR="009531D4" w:rsidRDefault="00000000">
            <w:r>
              <w:t>~$22/</w:t>
            </w:r>
            <w:proofErr w:type="spellStart"/>
            <w:r>
              <w:t>mo</w:t>
            </w:r>
            <w:proofErr w:type="spellEnd"/>
            <w:r>
              <w:t xml:space="preserve"> (4 × ~$7.30 combined once amortized — 3 continuous, 1 added later)</w:t>
            </w:r>
          </w:p>
        </w:tc>
        <w:tc>
          <w:tcPr>
            <w:tcW w:w="3800" w:type="dxa"/>
          </w:tcPr>
          <w:p w14:paraId="08A6A55C" w14:textId="77777777" w:rsidR="009531D4" w:rsidRDefault="00000000">
            <w:r>
              <w:t>Required because Glue ENIs are private-IP-only; see Section 6.</w:t>
            </w:r>
          </w:p>
        </w:tc>
      </w:tr>
      <w:tr w:rsidR="009531D4" w14:paraId="65301B12" w14:textId="77777777">
        <w:tblPrEx>
          <w:tblCellMar>
            <w:top w:w="0" w:type="dxa"/>
            <w:bottom w:w="0" w:type="dxa"/>
          </w:tblCellMar>
        </w:tblPrEx>
        <w:tc>
          <w:tcPr>
            <w:tcW w:w="3200" w:type="dxa"/>
          </w:tcPr>
          <w:p w14:paraId="4E46B497" w14:textId="77777777" w:rsidR="009531D4" w:rsidRDefault="00000000">
            <w:r>
              <w:t>VPC gateway endpoint (S3)</w:t>
            </w:r>
          </w:p>
        </w:tc>
        <w:tc>
          <w:tcPr>
            <w:tcW w:w="3000" w:type="dxa"/>
          </w:tcPr>
          <w:p w14:paraId="098AE7FD" w14:textId="77777777" w:rsidR="009531D4" w:rsidRDefault="00000000">
            <w:r>
              <w:t>$0</w:t>
            </w:r>
          </w:p>
        </w:tc>
        <w:tc>
          <w:tcPr>
            <w:tcW w:w="3800" w:type="dxa"/>
          </w:tcPr>
          <w:p w14:paraId="30F2944D" w14:textId="77777777" w:rsidR="009531D4" w:rsidRDefault="00000000">
            <w:r>
              <w:t>Free; route-table based, not ENI based.</w:t>
            </w:r>
          </w:p>
        </w:tc>
      </w:tr>
      <w:tr w:rsidR="009531D4" w14:paraId="17DA863F" w14:textId="77777777">
        <w:tblPrEx>
          <w:tblCellMar>
            <w:top w:w="0" w:type="dxa"/>
            <w:bottom w:w="0" w:type="dxa"/>
          </w:tblCellMar>
        </w:tblPrEx>
        <w:tc>
          <w:tcPr>
            <w:tcW w:w="3200" w:type="dxa"/>
          </w:tcPr>
          <w:p w14:paraId="018B7E39" w14:textId="77777777" w:rsidR="009531D4" w:rsidRDefault="00000000">
            <w:r>
              <w:t>Glue ETL (</w:t>
            </w:r>
            <w:proofErr w:type="spellStart"/>
            <w:r>
              <w:t>PySpark</w:t>
            </w:r>
            <w:proofErr w:type="spellEnd"/>
            <w:r>
              <w:t>)</w:t>
            </w:r>
          </w:p>
        </w:tc>
        <w:tc>
          <w:tcPr>
            <w:tcW w:w="3000" w:type="dxa"/>
          </w:tcPr>
          <w:p w14:paraId="5F760DC6" w14:textId="77777777" w:rsidR="009531D4" w:rsidRDefault="00000000">
            <w:r>
              <w:t>Per DPU-hour, 2 workers/G.1X = Glue ETL floor</w:t>
            </w:r>
          </w:p>
        </w:tc>
        <w:tc>
          <w:tcPr>
            <w:tcW w:w="3800" w:type="dxa"/>
          </w:tcPr>
          <w:p w14:paraId="4EFB4031" w14:textId="77777777" w:rsidR="009531D4" w:rsidRDefault="00000000">
            <w:r>
              <w:t>Deliberately not over-provisioned; data volume does not justify more than the minimum.</w:t>
            </w:r>
          </w:p>
        </w:tc>
      </w:tr>
      <w:tr w:rsidR="009531D4" w14:paraId="02AB6C11" w14:textId="77777777">
        <w:tblPrEx>
          <w:tblCellMar>
            <w:top w:w="0" w:type="dxa"/>
            <w:bottom w:w="0" w:type="dxa"/>
          </w:tblCellMar>
        </w:tblPrEx>
        <w:tc>
          <w:tcPr>
            <w:tcW w:w="3200" w:type="dxa"/>
          </w:tcPr>
          <w:p w14:paraId="355CEEB0" w14:textId="77777777" w:rsidR="009531D4" w:rsidRDefault="00000000">
            <w:r>
              <w:t>Secrets Manager</w:t>
            </w:r>
          </w:p>
        </w:tc>
        <w:tc>
          <w:tcPr>
            <w:tcW w:w="3000" w:type="dxa"/>
          </w:tcPr>
          <w:p w14:paraId="493D9A92" w14:textId="77777777" w:rsidR="009531D4" w:rsidRDefault="00000000">
            <w:r>
              <w:t>~$0.40/</w:t>
            </w:r>
            <w:proofErr w:type="spellStart"/>
            <w:r>
              <w:t>mo</w:t>
            </w:r>
            <w:proofErr w:type="spellEnd"/>
          </w:p>
        </w:tc>
        <w:tc>
          <w:tcPr>
            <w:tcW w:w="3800" w:type="dxa"/>
          </w:tcPr>
          <w:p w14:paraId="5B5FBB90" w14:textId="77777777" w:rsidR="009531D4" w:rsidRDefault="00000000">
            <w:r>
              <w:t>One secret for RDS credentials.</w:t>
            </w:r>
          </w:p>
        </w:tc>
      </w:tr>
      <w:tr w:rsidR="009531D4" w14:paraId="4B8F9367" w14:textId="77777777">
        <w:tblPrEx>
          <w:tblCellMar>
            <w:top w:w="0" w:type="dxa"/>
            <w:bottom w:w="0" w:type="dxa"/>
          </w:tblCellMar>
        </w:tblPrEx>
        <w:tc>
          <w:tcPr>
            <w:tcW w:w="3200" w:type="dxa"/>
          </w:tcPr>
          <w:p w14:paraId="055D791C" w14:textId="77777777" w:rsidR="009531D4" w:rsidRDefault="00000000">
            <w:proofErr w:type="spellStart"/>
            <w:r>
              <w:t>QuickSight</w:t>
            </w:r>
            <w:proofErr w:type="spellEnd"/>
          </w:p>
        </w:tc>
        <w:tc>
          <w:tcPr>
            <w:tcW w:w="3000" w:type="dxa"/>
          </w:tcPr>
          <w:p w14:paraId="6DFBCBBD" w14:textId="77777777" w:rsidR="009531D4" w:rsidRDefault="00000000">
            <w:r>
              <w:t>Free trial (30 days, up to 4 users), then metered per-author/per-session-reader</w:t>
            </w:r>
          </w:p>
        </w:tc>
        <w:tc>
          <w:tcPr>
            <w:tcW w:w="3800" w:type="dxa"/>
          </w:tcPr>
          <w:p w14:paraId="6FC3F4B4" w14:textId="77777777" w:rsidR="009531D4" w:rsidRDefault="00000000">
            <w:r>
              <w:t>SME-approved; timeline risk flagged given DEA project timelines commonly running long.</w:t>
            </w:r>
          </w:p>
        </w:tc>
      </w:tr>
      <w:tr w:rsidR="009531D4" w14:paraId="55D605CF" w14:textId="77777777">
        <w:tblPrEx>
          <w:tblCellMar>
            <w:top w:w="0" w:type="dxa"/>
            <w:bottom w:w="0" w:type="dxa"/>
          </w:tblCellMar>
        </w:tblPrEx>
        <w:tc>
          <w:tcPr>
            <w:tcW w:w="3200" w:type="dxa"/>
          </w:tcPr>
          <w:p w14:paraId="5E16B38D" w14:textId="77777777" w:rsidR="009531D4" w:rsidRDefault="00000000">
            <w:r>
              <w:t>GitHub Actions</w:t>
            </w:r>
          </w:p>
        </w:tc>
        <w:tc>
          <w:tcPr>
            <w:tcW w:w="3000" w:type="dxa"/>
          </w:tcPr>
          <w:p w14:paraId="27F31FF6" w14:textId="77777777" w:rsidR="009531D4" w:rsidRDefault="00000000">
            <w:r>
              <w:t>Free (2,000 build-minutes/</w:t>
            </w:r>
            <w:proofErr w:type="spellStart"/>
            <w:r>
              <w:t>mo</w:t>
            </w:r>
            <w:proofErr w:type="spellEnd"/>
            <w:r>
              <w:t xml:space="preserve"> on private repos)</w:t>
            </w:r>
          </w:p>
        </w:tc>
        <w:tc>
          <w:tcPr>
            <w:tcW w:w="3800" w:type="dxa"/>
          </w:tcPr>
          <w:p w14:paraId="351DDDE2" w14:textId="77777777" w:rsidR="009531D4" w:rsidRDefault="00000000">
            <w:r>
              <w:t>Well within this project's usage.</w:t>
            </w:r>
          </w:p>
        </w:tc>
      </w:tr>
    </w:tbl>
    <w:p w14:paraId="0EA9C6D2" w14:textId="77777777" w:rsidR="009531D4" w:rsidRDefault="00000000">
      <w:pPr>
        <w:pStyle w:val="Heading1"/>
        <w:spacing w:before="280" w:after="140"/>
      </w:pPr>
      <w:r>
        <w:t>11. Alternatives Considered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1"/>
        <w:gridCol w:w="2445"/>
        <w:gridCol w:w="2845"/>
        <w:gridCol w:w="2679"/>
      </w:tblGrid>
      <w:tr w:rsidR="009531D4" w14:paraId="37F6B9D2" w14:textId="77777777">
        <w:tblPrEx>
          <w:tblCellMar>
            <w:top w:w="0" w:type="dxa"/>
            <w:bottom w:w="0" w:type="dxa"/>
          </w:tblCellMar>
        </w:tblPrEx>
        <w:trPr>
          <w:tblHeader/>
        </w:trPr>
        <w:tc>
          <w:tcPr>
            <w:tcW w:w="1900" w:type="dxa"/>
            <w:shd w:val="clear" w:color="auto" w:fill="DDEBF7"/>
          </w:tcPr>
          <w:p w14:paraId="223D19FE" w14:textId="77777777" w:rsidR="009531D4" w:rsidRDefault="00000000">
            <w:r>
              <w:rPr>
                <w:b/>
                <w:bCs/>
              </w:rPr>
              <w:lastRenderedPageBreak/>
              <w:t>Layer</w:t>
            </w:r>
          </w:p>
        </w:tc>
        <w:tc>
          <w:tcPr>
            <w:tcW w:w="2500" w:type="dxa"/>
            <w:shd w:val="clear" w:color="auto" w:fill="DDEBF7"/>
          </w:tcPr>
          <w:p w14:paraId="1D1AE57D" w14:textId="77777777" w:rsidR="009531D4" w:rsidRDefault="00000000">
            <w:r>
              <w:rPr>
                <w:b/>
                <w:bCs/>
              </w:rPr>
              <w:t>Selected</w:t>
            </w:r>
          </w:p>
        </w:tc>
        <w:tc>
          <w:tcPr>
            <w:tcW w:w="2900" w:type="dxa"/>
            <w:shd w:val="clear" w:color="auto" w:fill="DDEBF7"/>
          </w:tcPr>
          <w:p w14:paraId="2BE2B970" w14:textId="77777777" w:rsidR="009531D4" w:rsidRDefault="00000000">
            <w:r>
              <w:rPr>
                <w:b/>
                <w:bCs/>
              </w:rPr>
              <w:t>Alternative</w:t>
            </w:r>
          </w:p>
        </w:tc>
        <w:tc>
          <w:tcPr>
            <w:tcW w:w="2700" w:type="dxa"/>
            <w:shd w:val="clear" w:color="auto" w:fill="DDEBF7"/>
          </w:tcPr>
          <w:p w14:paraId="33F0CD0A" w14:textId="77777777" w:rsidR="009531D4" w:rsidRDefault="00000000">
            <w:r>
              <w:rPr>
                <w:b/>
                <w:bCs/>
              </w:rPr>
              <w:t>Why not selected</w:t>
            </w:r>
          </w:p>
        </w:tc>
      </w:tr>
      <w:tr w:rsidR="009531D4" w14:paraId="2B3FAECF" w14:textId="77777777">
        <w:tblPrEx>
          <w:tblCellMar>
            <w:top w:w="0" w:type="dxa"/>
            <w:bottom w:w="0" w:type="dxa"/>
          </w:tblCellMar>
        </w:tblPrEx>
        <w:tc>
          <w:tcPr>
            <w:tcW w:w="1900" w:type="dxa"/>
          </w:tcPr>
          <w:p w14:paraId="0F43882E" w14:textId="77777777" w:rsidR="009531D4" w:rsidRDefault="00000000">
            <w:r>
              <w:t>Dashboard</w:t>
            </w:r>
          </w:p>
        </w:tc>
        <w:tc>
          <w:tcPr>
            <w:tcW w:w="2500" w:type="dxa"/>
          </w:tcPr>
          <w:p w14:paraId="2CCC0CDA" w14:textId="77777777" w:rsidR="009531D4" w:rsidRDefault="00000000">
            <w:proofErr w:type="spellStart"/>
            <w:r>
              <w:t>QuickSight</w:t>
            </w:r>
            <w:proofErr w:type="spellEnd"/>
          </w:p>
        </w:tc>
        <w:tc>
          <w:tcPr>
            <w:tcW w:w="2900" w:type="dxa"/>
          </w:tcPr>
          <w:p w14:paraId="2B15CD41" w14:textId="77777777" w:rsidR="009531D4" w:rsidRDefault="00000000">
            <w:proofErr w:type="spellStart"/>
            <w:r>
              <w:t>Streamlit</w:t>
            </w:r>
            <w:proofErr w:type="spellEnd"/>
            <w:r>
              <w:t xml:space="preserve"> (as specified in requirements)</w:t>
            </w:r>
          </w:p>
        </w:tc>
        <w:tc>
          <w:tcPr>
            <w:tcW w:w="2700" w:type="dxa"/>
          </w:tcPr>
          <w:p w14:paraId="7E700A14" w14:textId="77777777" w:rsidR="009531D4" w:rsidRDefault="00000000">
            <w:r>
              <w:t xml:space="preserve">SME approved </w:t>
            </w:r>
            <w:proofErr w:type="spellStart"/>
            <w:r>
              <w:t>QuickSight</w:t>
            </w:r>
            <w:proofErr w:type="spellEnd"/>
            <w:r>
              <w:t xml:space="preserve"> as the AWS-native option; note </w:t>
            </w:r>
            <w:proofErr w:type="spellStart"/>
            <w:r>
              <w:t>Streamlit's</w:t>
            </w:r>
            <w:proofErr w:type="spellEnd"/>
            <w:r>
              <w:t xml:space="preserve"> zero licensing cost arguably satisfied the ‘no new licenses’ clause at least as well.</w:t>
            </w:r>
          </w:p>
        </w:tc>
      </w:tr>
      <w:tr w:rsidR="009531D4" w14:paraId="3723EDD1" w14:textId="77777777">
        <w:tblPrEx>
          <w:tblCellMar>
            <w:top w:w="0" w:type="dxa"/>
            <w:bottom w:w="0" w:type="dxa"/>
          </w:tblCellMar>
        </w:tblPrEx>
        <w:tc>
          <w:tcPr>
            <w:tcW w:w="1900" w:type="dxa"/>
          </w:tcPr>
          <w:p w14:paraId="4521F352" w14:textId="77777777" w:rsidR="009531D4" w:rsidRDefault="00000000">
            <w:r>
              <w:t>VPC connectivity</w:t>
            </w:r>
          </w:p>
        </w:tc>
        <w:tc>
          <w:tcPr>
            <w:tcW w:w="2500" w:type="dxa"/>
          </w:tcPr>
          <w:p w14:paraId="42806C80" w14:textId="77777777" w:rsidR="009531D4" w:rsidRDefault="00000000">
            <w:r>
              <w:t>Endpoint-per-service (STS, Secrets Manager, SSM, CloudWatch Logs, S3 gateway)</w:t>
            </w:r>
          </w:p>
        </w:tc>
        <w:tc>
          <w:tcPr>
            <w:tcW w:w="2900" w:type="dxa"/>
          </w:tcPr>
          <w:p w14:paraId="53CF50ED" w14:textId="77777777" w:rsidR="009531D4" w:rsidRDefault="00000000">
            <w:r>
              <w:t>Single NAT Gateway</w:t>
            </w:r>
          </w:p>
        </w:tc>
        <w:tc>
          <w:tcPr>
            <w:tcW w:w="2700" w:type="dxa"/>
          </w:tcPr>
          <w:p w14:paraId="5360798D" w14:textId="77777777" w:rsidR="009531D4" w:rsidRDefault="00000000">
            <w:r>
              <w:t>NAT Gateway (~$32/</w:t>
            </w:r>
            <w:proofErr w:type="spellStart"/>
            <w:r>
              <w:t>mo</w:t>
            </w:r>
            <w:proofErr w:type="spellEnd"/>
            <w:r>
              <w:t>) costs more than the endpoint approach (~$22/</w:t>
            </w:r>
            <w:proofErr w:type="spellStart"/>
            <w:r>
              <w:t>mo</w:t>
            </w:r>
            <w:proofErr w:type="spellEnd"/>
            <w:r>
              <w:t>) at this scale; endpoint approach fully resolved connectivity once the complete service list was identified.</w:t>
            </w:r>
          </w:p>
        </w:tc>
      </w:tr>
      <w:tr w:rsidR="009531D4" w14:paraId="7B178683" w14:textId="77777777">
        <w:tblPrEx>
          <w:tblCellMar>
            <w:top w:w="0" w:type="dxa"/>
            <w:bottom w:w="0" w:type="dxa"/>
          </w:tblCellMar>
        </w:tblPrEx>
        <w:tc>
          <w:tcPr>
            <w:tcW w:w="1900" w:type="dxa"/>
          </w:tcPr>
          <w:p w14:paraId="78672B5C" w14:textId="77777777" w:rsidR="009531D4" w:rsidRDefault="00000000">
            <w:r>
              <w:t>Extract query strategy</w:t>
            </w:r>
          </w:p>
        </w:tc>
        <w:tc>
          <w:tcPr>
            <w:tcW w:w="2500" w:type="dxa"/>
          </w:tcPr>
          <w:p w14:paraId="28F770B8" w14:textId="77777777" w:rsidR="009531D4" w:rsidRDefault="00000000">
            <w:r>
              <w:t xml:space="preserve">Full pull via </w:t>
            </w:r>
            <w:proofErr w:type="spellStart"/>
            <w:r>
              <w:t>dbtable</w:t>
            </w:r>
            <w:proofErr w:type="spellEnd"/>
            <w:r>
              <w:t xml:space="preserve"> + Spark-side filter/join</w:t>
            </w:r>
          </w:p>
        </w:tc>
        <w:tc>
          <w:tcPr>
            <w:tcW w:w="2900" w:type="dxa"/>
          </w:tcPr>
          <w:p w14:paraId="37AC05E8" w14:textId="77777777" w:rsidR="009531D4" w:rsidRDefault="00000000">
            <w:r>
              <w:t>Server-side query pushdown via the ‘query’ connection option</w:t>
            </w:r>
          </w:p>
        </w:tc>
        <w:tc>
          <w:tcPr>
            <w:tcW w:w="2700" w:type="dxa"/>
          </w:tcPr>
          <w:p w14:paraId="5D6B5E8F" w14:textId="77777777" w:rsidR="009531D4" w:rsidRDefault="00000000">
            <w:r>
              <w:t xml:space="preserve">‘query’ combined with </w:t>
            </w:r>
            <w:proofErr w:type="spellStart"/>
            <w:r>
              <w:t>connectionName</w:t>
            </w:r>
            <w:proofErr w:type="spellEnd"/>
            <w:r>
              <w:t xml:space="preserve"> triggers a documented AWS Glue bug (‘key not found: location/</w:t>
            </w:r>
            <w:proofErr w:type="spellStart"/>
            <w:r>
              <w:t>url</w:t>
            </w:r>
            <w:proofErr w:type="spellEnd"/>
            <w:r>
              <w:t>’); full pull is computationally free at this data volume and avoids the bug entirely.</w:t>
            </w:r>
          </w:p>
        </w:tc>
      </w:tr>
      <w:tr w:rsidR="009531D4" w14:paraId="43CB3023" w14:textId="77777777">
        <w:tblPrEx>
          <w:tblCellMar>
            <w:top w:w="0" w:type="dxa"/>
            <w:bottom w:w="0" w:type="dxa"/>
          </w:tblCellMar>
        </w:tblPrEx>
        <w:tc>
          <w:tcPr>
            <w:tcW w:w="1900" w:type="dxa"/>
          </w:tcPr>
          <w:p w14:paraId="50904560" w14:textId="77777777" w:rsidR="009531D4" w:rsidRDefault="00000000">
            <w:r>
              <w:t>Orchestration/scheduling</w:t>
            </w:r>
          </w:p>
        </w:tc>
        <w:tc>
          <w:tcPr>
            <w:tcW w:w="2500" w:type="dxa"/>
          </w:tcPr>
          <w:p w14:paraId="49C26265" w14:textId="77777777" w:rsidR="009531D4" w:rsidRDefault="00000000">
            <w:r>
              <w:t>Native Glue Workflow scheduled trigger</w:t>
            </w:r>
          </w:p>
        </w:tc>
        <w:tc>
          <w:tcPr>
            <w:tcW w:w="2900" w:type="dxa"/>
          </w:tcPr>
          <w:p w14:paraId="41459375" w14:textId="77777777" w:rsidR="009531D4" w:rsidRDefault="00000000">
            <w:proofErr w:type="spellStart"/>
            <w:r>
              <w:t>EventBridge</w:t>
            </w:r>
            <w:proofErr w:type="spellEnd"/>
            <w:r>
              <w:t xml:space="preserve"> Scheduler + Glue Workflow</w:t>
            </w:r>
          </w:p>
        </w:tc>
        <w:tc>
          <w:tcPr>
            <w:tcW w:w="2700" w:type="dxa"/>
          </w:tcPr>
          <w:p w14:paraId="2536D662" w14:textId="77777777" w:rsidR="009531D4" w:rsidRDefault="00000000">
            <w:r>
              <w:t>SME steer; removes one service and one IAM trust relationship for equivalent functionality.</w:t>
            </w:r>
          </w:p>
        </w:tc>
      </w:tr>
      <w:tr w:rsidR="009531D4" w14:paraId="3496CCB7" w14:textId="77777777">
        <w:tblPrEx>
          <w:tblCellMar>
            <w:top w:w="0" w:type="dxa"/>
            <w:bottom w:w="0" w:type="dxa"/>
          </w:tblCellMar>
        </w:tblPrEx>
        <w:tc>
          <w:tcPr>
            <w:tcW w:w="1900" w:type="dxa"/>
          </w:tcPr>
          <w:p w14:paraId="650293F1" w14:textId="77777777" w:rsidR="009531D4" w:rsidRDefault="00000000">
            <w:r>
              <w:t>CI/CD execution</w:t>
            </w:r>
          </w:p>
        </w:tc>
        <w:tc>
          <w:tcPr>
            <w:tcW w:w="2500" w:type="dxa"/>
          </w:tcPr>
          <w:p w14:paraId="2EF26D9A" w14:textId="77777777" w:rsidR="009531D4" w:rsidRDefault="00000000">
            <w:r>
              <w:t>GitHub Actions (OIDC federation)</w:t>
            </w:r>
          </w:p>
        </w:tc>
        <w:tc>
          <w:tcPr>
            <w:tcW w:w="2900" w:type="dxa"/>
          </w:tcPr>
          <w:p w14:paraId="256379C0" w14:textId="77777777" w:rsidR="009531D4" w:rsidRDefault="00000000">
            <w:r>
              <w:t xml:space="preserve">AWS </w:t>
            </w:r>
            <w:proofErr w:type="spellStart"/>
            <w:r>
              <w:t>CodePipeline</w:t>
            </w:r>
            <w:proofErr w:type="spellEnd"/>
            <w:r>
              <w:t xml:space="preserve"> with </w:t>
            </w:r>
            <w:proofErr w:type="spellStart"/>
            <w:r>
              <w:t>CodeConnections</w:t>
            </w:r>
            <w:proofErr w:type="spellEnd"/>
          </w:p>
        </w:tc>
        <w:tc>
          <w:tcPr>
            <w:tcW w:w="2700" w:type="dxa"/>
          </w:tcPr>
          <w:p w14:paraId="74427531" w14:textId="77777777" w:rsidR="009531D4" w:rsidRDefault="00000000">
            <w:r>
              <w:t xml:space="preserve">Matches the requirement's literal wording (GitHub as trigger and execution environment); free compute vs. </w:t>
            </w:r>
            <w:proofErr w:type="spellStart"/>
            <w:r>
              <w:t>CodePipeline</w:t>
            </w:r>
            <w:proofErr w:type="spellEnd"/>
            <w:r>
              <w:t>/</w:t>
            </w:r>
            <w:proofErr w:type="spellStart"/>
            <w:r>
              <w:t>CodeBuild's</w:t>
            </w:r>
            <w:proofErr w:type="spellEnd"/>
            <w:r>
              <w:t xml:space="preserve"> small but real per-pipeline and per-build-minute cost.</w:t>
            </w:r>
          </w:p>
        </w:tc>
      </w:tr>
    </w:tbl>
    <w:p w14:paraId="18386252" w14:textId="77777777" w:rsidR="009531D4" w:rsidRDefault="00000000">
      <w:pPr>
        <w:pStyle w:val="Heading1"/>
        <w:spacing w:before="280" w:after="140"/>
      </w:pPr>
      <w:r>
        <w:t>12. Security Considerations</w:t>
      </w:r>
    </w:p>
    <w:p w14:paraId="4620B576" w14:textId="77777777" w:rsidR="009531D4" w:rsidRDefault="00000000">
      <w:pPr>
        <w:pStyle w:val="ListParagraph"/>
        <w:numPr>
          <w:ilvl w:val="0"/>
          <w:numId w:val="1"/>
        </w:numPr>
        <w:spacing w:after="100"/>
      </w:pPr>
      <w:r>
        <w:t>RDS: SQL Server Express edition (free-tier eligible, no embedded licensing cost), storage encryption enabled at creation (cannot be added after the fact without a snapshot-copy-restore cycle), inbound security group access scoped to the developer's IP rather than the tutorial's default 0.0.0.0/0.</w:t>
      </w:r>
    </w:p>
    <w:p w14:paraId="6FDE4941" w14:textId="77777777" w:rsidR="009531D4" w:rsidRDefault="00000000">
      <w:pPr>
        <w:pStyle w:val="ListParagraph"/>
        <w:numPr>
          <w:ilvl w:val="0"/>
          <w:numId w:val="1"/>
        </w:numPr>
        <w:spacing w:after="100"/>
      </w:pPr>
      <w:r>
        <w:t>S3: SSE-KMS default encryption (AWS-managed key), Block Public Access fully enabled, versioning enabled.</w:t>
      </w:r>
    </w:p>
    <w:p w14:paraId="3DAD3734" w14:textId="77777777" w:rsidR="009531D4" w:rsidRDefault="00000000">
      <w:pPr>
        <w:pStyle w:val="ListParagraph"/>
        <w:numPr>
          <w:ilvl w:val="0"/>
          <w:numId w:val="1"/>
        </w:numPr>
        <w:spacing w:after="100"/>
      </w:pPr>
      <w:r>
        <w:t>Credentials: RDS credentials stored in Secrets Manager, referenced by the Glue Connection and by the extract job's boto3 calls — never hardcoded or stored in Glue job parameters.</w:t>
      </w:r>
    </w:p>
    <w:p w14:paraId="392B91A5" w14:textId="77777777" w:rsidR="009531D4" w:rsidRDefault="00000000">
      <w:pPr>
        <w:pStyle w:val="ListParagraph"/>
        <w:numPr>
          <w:ilvl w:val="0"/>
          <w:numId w:val="1"/>
        </w:numPr>
        <w:spacing w:after="100"/>
      </w:pPr>
      <w:r>
        <w:t>IAM: least-privilege, per-project, per-pipeline-stage roles (see Section 7); GitHub Actions authenticates via OIDC federation rather than long-lived stored AWS access keys.</w:t>
      </w:r>
    </w:p>
    <w:p w14:paraId="577F32EB" w14:textId="77777777" w:rsidR="009531D4" w:rsidRDefault="00000000">
      <w:pPr>
        <w:pStyle w:val="ListParagraph"/>
        <w:numPr>
          <w:ilvl w:val="0"/>
          <w:numId w:val="1"/>
        </w:numPr>
        <w:spacing w:after="100"/>
      </w:pPr>
      <w:r>
        <w:t xml:space="preserve">Security group: inbound rules scoped to specific ports/self-reference where possible; the ALL TCP self-referencing rule (Section 6) is broader than ideal but is a documented, unavoidable Spark requirement, not an </w:t>
      </w:r>
      <w:proofErr w:type="spellStart"/>
      <w:r>
        <w:t>unscoped</w:t>
      </w:r>
      <w:proofErr w:type="spellEnd"/>
      <w:r>
        <w:t xml:space="preserve"> convenience rule — still restricted to self-reference only, never opened to 0.0.0.0/0.</w:t>
      </w:r>
    </w:p>
    <w:p w14:paraId="45D14241" w14:textId="77777777" w:rsidR="009531D4" w:rsidRDefault="00000000">
      <w:pPr>
        <w:pStyle w:val="Heading1"/>
        <w:spacing w:before="280" w:after="140"/>
      </w:pPr>
      <w:r>
        <w:t>13. CI/CD</w:t>
      </w:r>
    </w:p>
    <w:p w14:paraId="07E78C23" w14:textId="77777777" w:rsidR="009531D4" w:rsidRDefault="00000000">
      <w:pPr>
        <w:spacing w:after="160"/>
      </w:pPr>
      <w:r>
        <w:t>Implemented via GitHub Actions, federated to AWS through an OIDC identity provider (token.actions.githubusercontent.com) registered once at the account level. The workflow's IAM role trust policy is scoped to this specific repository and branch (</w:t>
      </w:r>
      <w:proofErr w:type="spellStart"/>
      <w:r>
        <w:t>repo:ronknighton</w:t>
      </w:r>
      <w:proofErr w:type="spellEnd"/>
      <w:r>
        <w:t>/</w:t>
      </w:r>
      <w:proofErr w:type="spellStart"/>
      <w:r>
        <w:t>dea-global-partners:ref:refs</w:t>
      </w:r>
      <w:proofErr w:type="spellEnd"/>
      <w:r>
        <w:t>/heads/main). CI: lint (flake8/black) and unit tests (</w:t>
      </w:r>
      <w:proofErr w:type="spellStart"/>
      <w:r>
        <w:t>pytest</w:t>
      </w:r>
      <w:proofErr w:type="spellEnd"/>
      <w:r>
        <w:t xml:space="preserve">, with a local </w:t>
      </w:r>
      <w:proofErr w:type="spellStart"/>
      <w:r>
        <w:t>SparkSession</w:t>
      </w:r>
      <w:proofErr w:type="spellEnd"/>
      <w:r>
        <w:t xml:space="preserve"> for </w:t>
      </w:r>
      <w:proofErr w:type="spellStart"/>
      <w:r>
        <w:t>PySpark</w:t>
      </w:r>
      <w:proofErr w:type="spellEnd"/>
      <w:r>
        <w:t xml:space="preserve">-specific assertions — </w:t>
      </w:r>
      <w:proofErr w:type="spellStart"/>
      <w:r>
        <w:t>chispa</w:t>
      </w:r>
      <w:proofErr w:type="spellEnd"/>
      <w:r>
        <w:t xml:space="preserve"> recommended for </w:t>
      </w:r>
      <w:proofErr w:type="spellStart"/>
      <w:r>
        <w:t>DataFrame</w:t>
      </w:r>
      <w:proofErr w:type="spellEnd"/>
      <w:r>
        <w:t xml:space="preserve"> equality/schema checks). CD: on merge to main, deploy the validated Glue script to s3://dea-global-partners-rhk/scripts/ and update the corresponding Glue job definition. Not yet implemented at time of writing; scripts are currently deployed and iterated on manually while the extract job's logic is being validated, per the deliberate decision to prove a script works manually before automating its deployment.</w:t>
      </w:r>
    </w:p>
    <w:p w14:paraId="58F7C9FE" w14:textId="77777777" w:rsidR="009531D4" w:rsidRDefault="00000000">
      <w:pPr>
        <w:pStyle w:val="Heading1"/>
        <w:spacing w:before="280" w:after="140"/>
      </w:pPr>
      <w:r>
        <w:lastRenderedPageBreak/>
        <w:t>14. Open Items &amp; Next Steps</w:t>
      </w:r>
    </w:p>
    <w:p w14:paraId="350D06B7" w14:textId="77777777" w:rsidR="009531D4" w:rsidRDefault="00000000">
      <w:pPr>
        <w:pStyle w:val="ListParagraph"/>
        <w:numPr>
          <w:ilvl w:val="0"/>
          <w:numId w:val="1"/>
        </w:numPr>
        <w:spacing w:after="100"/>
      </w:pPr>
      <w:r>
        <w:t>Build and validate the transform job (raw/ → processed/): mixed-date-format parsing, composite-key join, column standardization.</w:t>
      </w:r>
    </w:p>
    <w:p w14:paraId="4FC77478" w14:textId="77777777" w:rsidR="009531D4" w:rsidRDefault="00000000">
      <w:pPr>
        <w:pStyle w:val="ListParagraph"/>
        <w:numPr>
          <w:ilvl w:val="0"/>
          <w:numId w:val="1"/>
        </w:numPr>
        <w:spacing w:after="100"/>
      </w:pPr>
      <w:r>
        <w:t>Build and validate the aggregate job (processed/ → marts/): seven target metric tables, including the CLV daily-grain design discussed with the SME.</w:t>
      </w:r>
    </w:p>
    <w:p w14:paraId="31CBFF34" w14:textId="77777777" w:rsidR="009531D4" w:rsidRDefault="00000000">
      <w:pPr>
        <w:pStyle w:val="ListParagraph"/>
        <w:numPr>
          <w:ilvl w:val="0"/>
          <w:numId w:val="1"/>
        </w:numPr>
        <w:spacing w:after="100"/>
      </w:pPr>
      <w:r>
        <w:t>Configure Glue Workflow to orchestrate extract → transform → aggregate with retry/failure-reload handling and its native scheduled trigger.</w:t>
      </w:r>
    </w:p>
    <w:p w14:paraId="7A0A3F09" w14:textId="77777777" w:rsidR="009531D4" w:rsidRDefault="00000000">
      <w:pPr>
        <w:pStyle w:val="ListParagraph"/>
        <w:numPr>
          <w:ilvl w:val="0"/>
          <w:numId w:val="1"/>
        </w:numPr>
        <w:spacing w:after="100"/>
      </w:pPr>
      <w:r>
        <w:t>Set up Glue Crawler(s) to register schema across all three S3 layers for Athena.</w:t>
      </w:r>
    </w:p>
    <w:p w14:paraId="7621319B" w14:textId="77777777" w:rsidR="009531D4" w:rsidRDefault="00000000">
      <w:pPr>
        <w:pStyle w:val="ListParagraph"/>
        <w:numPr>
          <w:ilvl w:val="0"/>
          <w:numId w:val="1"/>
        </w:numPr>
        <w:spacing w:after="100"/>
      </w:pPr>
      <w:r>
        <w:t xml:space="preserve">Build the seven </w:t>
      </w:r>
      <w:proofErr w:type="spellStart"/>
      <w:r>
        <w:t>QuickSight</w:t>
      </w:r>
      <w:proofErr w:type="spellEnd"/>
      <w:r>
        <w:t xml:space="preserve"> dashboard visuals against the marts/ layer via Athena; grant </w:t>
      </w:r>
      <w:proofErr w:type="spellStart"/>
      <w:r>
        <w:t>QuickSight's</w:t>
      </w:r>
      <w:proofErr w:type="spellEnd"/>
      <w:r>
        <w:t xml:space="preserve"> service-linked role access to the bucket and Athena workgroup.</w:t>
      </w:r>
    </w:p>
    <w:p w14:paraId="7278F287" w14:textId="77777777" w:rsidR="009531D4" w:rsidRDefault="00000000">
      <w:pPr>
        <w:pStyle w:val="ListParagraph"/>
        <w:numPr>
          <w:ilvl w:val="0"/>
          <w:numId w:val="1"/>
        </w:numPr>
        <w:spacing w:after="100"/>
      </w:pPr>
      <w:r>
        <w:t>Implement the GitHub Actions CI/CD workflow (Section 13) once the manual deployment pattern is fully proven across all three Glue jobs.</w:t>
      </w:r>
    </w:p>
    <w:p w14:paraId="24FD228D" w14:textId="77777777" w:rsidR="009531D4" w:rsidRDefault="00000000">
      <w:pPr>
        <w:pStyle w:val="ListParagraph"/>
        <w:numPr>
          <w:ilvl w:val="0"/>
          <w:numId w:val="1"/>
        </w:numPr>
        <w:spacing w:after="100"/>
      </w:pPr>
      <w:r>
        <w:t xml:space="preserve">Clean up the Spark-history-log warning in job runs, caused by Glue defaulting to an auto-provisioned </w:t>
      </w:r>
      <w:proofErr w:type="spellStart"/>
      <w:r>
        <w:t>aws</w:t>
      </w:r>
      <w:proofErr w:type="spellEnd"/>
      <w:r>
        <w:t>-glue-assets-&lt;account&gt;-&lt;region&gt; bucket that was never created in this account (by design — see the Healthcare Metrics precedent of avoiding Glue's auto-provisioned resources); point job monitoring/logging options at the project's own bucket instead.</w:t>
      </w:r>
    </w:p>
    <w:p w14:paraId="1E23384B" w14:textId="77777777" w:rsidR="009531D4" w:rsidRDefault="00000000">
      <w:pPr>
        <w:pStyle w:val="ListParagraph"/>
        <w:numPr>
          <w:ilvl w:val="0"/>
          <w:numId w:val="1"/>
        </w:numPr>
        <w:spacing w:after="100"/>
      </w:pPr>
      <w:r>
        <w:t>Apply the scripts/* IAM read-permission fix (Section 7) proactively to the transform and aggregate roles before first use, rather than waiting to hit the identical bootstrap error twice more.</w:t>
      </w:r>
    </w:p>
    <w:p w14:paraId="48334A25" w14:textId="77777777" w:rsidR="009531D4" w:rsidRDefault="00000000">
      <w:pPr>
        <w:pStyle w:val="ListParagraph"/>
        <w:numPr>
          <w:ilvl w:val="0"/>
          <w:numId w:val="1"/>
        </w:numPr>
        <w:spacing w:after="100"/>
      </w:pPr>
      <w:r>
        <w:t>Revisit RDS instance sizing: currently on db.t3.small after db.t3.micro proved insufficient under load; confirm whether this needs to remain elevated for the transform/aggregate jobs' query patterns or can be scaled back down between work sessions.</w:t>
      </w:r>
    </w:p>
    <w:sectPr w:rsidR="009531D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1D76D5"/>
    <w:multiLevelType w:val="hybridMultilevel"/>
    <w:tmpl w:val="348E7782"/>
    <w:lvl w:ilvl="0" w:tplc="1E502EEA">
      <w:start w:val="1"/>
      <w:numFmt w:val="bullet"/>
      <w:lvlText w:val="●"/>
      <w:lvlJc w:val="left"/>
      <w:pPr>
        <w:ind w:left="720" w:hanging="360"/>
      </w:pPr>
    </w:lvl>
    <w:lvl w:ilvl="1" w:tplc="16783902">
      <w:start w:val="1"/>
      <w:numFmt w:val="bullet"/>
      <w:lvlText w:val="○"/>
      <w:lvlJc w:val="left"/>
      <w:pPr>
        <w:ind w:left="1440" w:hanging="360"/>
      </w:pPr>
    </w:lvl>
    <w:lvl w:ilvl="2" w:tplc="6D5600CE">
      <w:start w:val="1"/>
      <w:numFmt w:val="bullet"/>
      <w:lvlText w:val="■"/>
      <w:lvlJc w:val="left"/>
      <w:pPr>
        <w:ind w:left="2160" w:hanging="360"/>
      </w:pPr>
    </w:lvl>
    <w:lvl w:ilvl="3" w:tplc="1EFADD06">
      <w:start w:val="1"/>
      <w:numFmt w:val="bullet"/>
      <w:lvlText w:val="●"/>
      <w:lvlJc w:val="left"/>
      <w:pPr>
        <w:ind w:left="2880" w:hanging="360"/>
      </w:pPr>
    </w:lvl>
    <w:lvl w:ilvl="4" w:tplc="D1F8CC6A">
      <w:start w:val="1"/>
      <w:numFmt w:val="bullet"/>
      <w:lvlText w:val="○"/>
      <w:lvlJc w:val="left"/>
      <w:pPr>
        <w:ind w:left="3600" w:hanging="360"/>
      </w:pPr>
    </w:lvl>
    <w:lvl w:ilvl="5" w:tplc="89D2A084">
      <w:start w:val="1"/>
      <w:numFmt w:val="bullet"/>
      <w:lvlText w:val="■"/>
      <w:lvlJc w:val="left"/>
      <w:pPr>
        <w:ind w:left="4320" w:hanging="360"/>
      </w:pPr>
    </w:lvl>
    <w:lvl w:ilvl="6" w:tplc="5ACCABE0">
      <w:start w:val="1"/>
      <w:numFmt w:val="bullet"/>
      <w:lvlText w:val="●"/>
      <w:lvlJc w:val="left"/>
      <w:pPr>
        <w:ind w:left="5040" w:hanging="360"/>
      </w:pPr>
    </w:lvl>
    <w:lvl w:ilvl="7" w:tplc="46E8A516">
      <w:start w:val="1"/>
      <w:numFmt w:val="bullet"/>
      <w:lvlText w:val="●"/>
      <w:lvlJc w:val="left"/>
      <w:pPr>
        <w:ind w:left="5760" w:hanging="360"/>
      </w:pPr>
    </w:lvl>
    <w:lvl w:ilvl="8" w:tplc="DF6A8A44">
      <w:start w:val="1"/>
      <w:numFmt w:val="bullet"/>
      <w:lvlText w:val="●"/>
      <w:lvlJc w:val="left"/>
      <w:pPr>
        <w:ind w:left="6480" w:hanging="360"/>
      </w:pPr>
    </w:lvl>
  </w:abstractNum>
  <w:num w:numId="1" w16cid:durableId="17234821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1D4"/>
    <w:rsid w:val="009531D4"/>
    <w:rsid w:val="00ED7048"/>
    <w:rsid w:val="00FC4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518D1"/>
  <w15:docId w15:val="{3DCA0450-9E4C-497A-8C71-D33163449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3841</Words>
  <Characters>21899</Characters>
  <Application>Microsoft Office Word</Application>
  <DocSecurity>0</DocSecurity>
  <Lines>182</Lines>
  <Paragraphs>51</Paragraphs>
  <ScaleCrop>false</ScaleCrop>
  <Company/>
  <LinksUpToDate>false</LinksUpToDate>
  <CharactersWithSpaces>25689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Ron Knighton</cp:lastModifiedBy>
  <cp:revision>2</cp:revision>
  <dcterms:created xsi:type="dcterms:W3CDTF">2026-08-03T15:15:00Z</dcterms:created>
  <dcterms:modified xsi:type="dcterms:W3CDTF">2026-08-03T19:00:00Z</dcterms:modified>
</cp:coreProperties>
</file>