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Global Partners Business Analysis</w:t>
      </w:r>
    </w:p>
    <w:p>
      <w:pPr>
        <w:spacing w:after="120"/>
      </w:pPr>
      <w:r>
        <w:rPr>
          <w:b/>
          <w:bCs/>
          <w:sz w:val="28"/>
          <w:szCs w:val="28"/>
        </w:rPr>
        <w:t xml:space="preserve">Solution Design Document</w:t>
      </w:r>
    </w:p>
    <w:p>
      <w:pPr>
        <w:spacing w:after="300"/>
      </w:pPr>
      <w:r>
        <w:rPr>
          <w:i/>
          <w:iCs/>
          <w:color w:val="555555"/>
        </w:rPr>
        <w:t xml:space="preserve">Prepared for SME review  •  Status: Project functionally complete — pipeline (extract/transform/aggregate), orchestration, IAM, CI/CD, and all seven QuickSight dashboards built, validated, and deployed  •  Stack: AWS-native pipeline (per project requirement), QuickSight dashboard (SME-approved exception), PySpark mandated for all logic</w:t>
      </w:r>
    </w:p>
    <w:p>
      <w:pPr>
        <w:pStyle w:val="Heading1"/>
        <w:spacing w:after="140" w:before="280"/>
      </w:pPr>
      <w:r>
        <w:t xml:space="preserve">1. Project Overview</w:t>
      </w:r>
    </w:p>
    <w:p>
      <w:pPr>
        <w:spacing w:after="160"/>
      </w:pPr>
      <w:r>
        <w:t xml:space="preserve">This project builds a customer analytics platform on top of restaurant/food-ordering transaction data, supporting customer lifetime value (CLV), RFM segmentation, churn risk, sales trend, loyalty program, location performance, and discount/pricing effectiveness analysis. Per project requirements, all transformation logic must be implemented in PySpark, and the source system is a Microsoft SQL Server database (RDS-hosted), not a flat-file or API source as in prior projects.</w:t>
      </w:r>
    </w:p>
    <w:p>
      <w:pPr>
        <w:spacing w:after="160"/>
      </w:pPr>
      <w:r>
        <w:t xml:space="preserve">The requirements document specifies an AWS-native pipeline architecture with no new third-party software licenses. The dashboard layer was originally specified as Streamlit; after SME confirmation, QuickSight was substituted as the AWS-native alternative (see Section 4 and Section 11).</w:t>
      </w:r>
    </w:p>
    <w:p>
      <w:pPr>
        <w:pStyle w:val="Heading1"/>
        <w:spacing w:after="140" w:before="280"/>
      </w:pPr>
      <w:r>
        <w:t xml:space="preserve">2. Data Sources &amp; Scope</w:t>
      </w:r>
    </w:p>
    <w:p>
      <w:pPr>
        <w:spacing w:after="160"/>
      </w:pPr>
      <w:r>
        <w:t xml:space="preserve">Three source tables, provided as CSV files and loaded into a self-managed RDS SQL Server Express instance via SSMS's Import Flat File wizard:</w:t>
      </w:r>
    </w:p>
    <w:p>
      <w:pPr>
        <w:pStyle w:val="ListParagraph"/>
        <w:numPr>
          <w:ilvl w:val="0"/>
          <w:numId w:val="1"/>
        </w:numPr>
        <w:spacing w:after="100"/>
      </w:pPr>
      <w:r>
        <w:t xml:space="preserve">order_items — 203,519 rows. Order-and-lineitem-level transaction detail: app name, restaurant ID, creation timestamp, order/lineitem IDs, user ID, loyalty flag, item category/name/price/quantity, and a tokenized/masked printed card number.</w:t>
      </w:r>
    </w:p>
    <w:p>
      <w:pPr>
        <w:pStyle w:val="ListParagraph"/>
        <w:numPr>
          <w:ilvl w:val="0"/>
          <w:numId w:val="1"/>
        </w:numPr>
        <w:spacing w:after="100"/>
      </w:pPr>
      <w:r>
        <w:t xml:space="preserve">order_item_options — 193,017 rows. Modifier/add-on detail per order lineitem, joined to order_items via the composite key ORDER_ID + LINEITEM_ID.</w:t>
      </w:r>
    </w:p>
    <w:p>
      <w:pPr>
        <w:pStyle w:val="ListParagraph"/>
        <w:numPr>
          <w:ilvl w:val="0"/>
          <w:numId w:val="1"/>
        </w:numPr>
        <w:spacing w:after="100"/>
      </w:pPr>
      <w:r>
        <w:t xml:space="preserve">date_dim — 365 rows. Calendar dimension. Covers roughly one year; actual order data spans ~3.8 years (2020-04-21 to 2024-02-21) — see Section 8 for how this coverage gap was handled.</w:t>
      </w:r>
    </w:p>
    <w:p>
      <w:pPr>
        <w:spacing w:after="160"/>
      </w:pPr>
      <w:r>
        <w:t xml:space="preserve">The data is a one-time historical load, confirmed by the SME as intentional: the pipeline is designed to demonstrate daily-production behavior without requiring a live daily feed.</w:t>
      </w:r>
    </w:p>
    <w:p>
      <w:pPr>
        <w:pStyle w:val="Heading1"/>
        <w:spacing w:after="140" w:before="280"/>
      </w:pPr>
      <w:r>
        <w:t xml:space="preserve">3. Architecture Overview</w:t>
      </w:r>
    </w:p>
    <w:p>
      <w:pPr>
        <w:spacing w:after="160"/>
      </w:pPr>
      <w:r>
        <w:t xml:space="preserve">A medallion architecture on S3 (raw / processed / marts), driven entirely by Glue ETL (PySpark) jobs. RDS SQL Server is the ingestion source via a VPC-attached Glue Connection. Athena serves as the query engine over the marts layer; QuickSight is the dashboard layer. Orchestration is a Glue Workflow (native scheduled trigger → extract → transform → aggregate → crawler, each gated on the prior job's SUCCEEDED state). CI/CD is fully implemented and verified end-to-end via GitHub Actions with OIDC federation.</w:t>
      </w:r>
    </w:p>
    <w:p>
      <w:pPr>
        <w:spacing w:after="160"/>
      </w:pPr>
      <w:r>
        <w:t xml:space="preserve">Project status as of this revision: every layer is built, validated, and in sync — the pipeline, IAM, orchestration, CI/CD, and all seven QuickSight dashboards (published). Remaining items are optional future enhancements only (Section 14).</w:t>
      </w:r>
    </w:p>
    <w:p>
      <w:pPr>
        <w:pStyle w:val="Heading1"/>
        <w:spacing w:after="140" w:before="280"/>
      </w:pPr>
      <w:r>
        <w:t xml:space="preserve">4. Component Rationale</w:t>
      </w:r>
    </w:p>
    <w:p>
      <w:pPr>
        <w:spacing w:after="160"/>
      </w:pPr>
      <w:r>
        <w:rPr>
          <w:b/>
          <w:bCs/>
        </w:rPr>
        <w:t xml:space="preserve">Transform engine — Glue ETL (PySpark), not Glue Python Shell</w:t>
      </w:r>
    </w:p>
    <w:p>
      <w:pPr>
        <w:spacing w:after="160"/>
      </w:pPr>
      <w:r>
        <w:t xml:space="preserve">Unlike the Healthcare Metrics project, PySpark here is not a scale-driven choice — it is used because the requirements document explicitly mandates it.</w:t>
      </w:r>
    </w:p>
    <w:p>
      <w:pPr>
        <w:spacing w:after="160"/>
      </w:pPr>
      <w:r>
        <w:rPr>
          <w:b/>
          <w:bCs/>
        </w:rPr>
        <w:t xml:space="preserve">Worker configuration — 2 workers, G.1X (Glue ETL floor)</w:t>
      </w:r>
    </w:p>
    <w:p>
      <w:pPr>
        <w:spacing w:after="160"/>
      </w:pPr>
      <w:r>
        <w:t xml:space="preserve">Selected because the data volume does not justify more than the minimum Glue ETL allows. Retries set to 1 on all three jobs once each was individually verified working, relying on the pipeline's idempotent design (checkpoint-gated extract, full-overwrite transform/aggregate).</w:t>
      </w:r>
    </w:p>
    <w:p>
      <w:pPr>
        <w:spacing w:after="160"/>
      </w:pPr>
      <w:r>
        <w:rPr>
          <w:b/>
          <w:bCs/>
        </w:rPr>
        <w:t xml:space="preserve">Dashboard — Amazon QuickSight, not Streamlit</w:t>
      </w:r>
    </w:p>
    <w:p>
      <w:pPr>
        <w:spacing w:after="160"/>
      </w:pPr>
      <w:r>
        <w:t xml:space="preserve">SME-approved as the AWS-native alternative to the requirements doc's specified Streamlit. Note: QuickSight is a paid, metered service while Streamlit is free — Streamlit likely satisfied the 'no new licenses' requirement at least as well, if not better; the SME's approval resolves the ambiguity regardless.</w:t>
      </w:r>
    </w:p>
    <w:p>
      <w:pPr>
        <w:spacing w:after="160"/>
      </w:pPr>
      <w:r>
        <w:rPr>
          <w:b/>
          <w:bCs/>
        </w:rPr>
        <w:t xml:space="preserve">Orchestration — native Glue Workflow scheduled trigger</w:t>
      </w:r>
    </w:p>
    <w:p>
      <w:pPr>
        <w:spacing w:after="160"/>
      </w:pPr>
      <w:r>
        <w:t xml:space="preserve">Per SME feedback, scheduling uses Glue Workflow's own native SCHEDULED trigger rather than a separate EventBridge Scheduler.</w:t>
      </w:r>
    </w:p>
    <w:p>
      <w:pPr>
        <w:spacing w:after="160"/>
      </w:pPr>
      <w:r>
        <w:rPr>
          <w:b/>
          <w:bCs/>
        </w:rPr>
        <w:t xml:space="preserve">Failure notification (SNS + Lambda) — considered, deliberately deferred</w:t>
      </w:r>
    </w:p>
    <w:p>
      <w:pPr>
        <w:spacing w:after="160"/>
      </w:pPr>
      <w:r>
        <w:t xml:space="preserve">Glue Workflow triggers cannot natively publish to SNS; a working implementation would require a small Lambda invoked by a FAILED-watching trigger, calling sns.publish() with failure details. Scoped and designed but not built: this is a single-operator capstone project, not a system with dependent downstream consumers, so manual monitoring is an acceptable substitute. Flagged explicitly as a production requirement that would be built for a real deployment — a scheduled pipeline with no failure alerting is a genuine anti-pattern at production scale.</w:t>
      </w:r>
    </w:p>
    <w:p>
      <w:pPr>
        <w:spacing w:after="160"/>
      </w:pPr>
      <w:r>
        <w:rPr>
          <w:b/>
          <w:bCs/>
        </w:rPr>
        <w:t xml:space="preserve">CI/CD — GitHub Actions with OIDC federation</w:t>
      </w:r>
    </w:p>
    <w:p>
      <w:pPr>
        <w:spacing w:after="160"/>
      </w:pPr>
      <w:r>
        <w:t xml:space="preserve">Required by Step 7 of the requirements document with no accompanying implementation guidance. Fully implemented and verified working end-to-end as of this revision: code changes pushed to a feature branch trigger CI (lint/format/test), merging to main triggers automated deployment to S3 and Glue job updates. See Section 13 for the deployment troubleshooting encountered.</w:t>
      </w:r>
    </w:p>
    <w:p>
      <w:pPr>
        <w:spacing w:after="160"/>
      </w:pPr>
      <w:r>
        <w:rPr>
          <w:b/>
          <w:bCs/>
        </w:rPr>
        <w:t xml:space="preserve">Incremental extraction — SSM Parameter Store checkpoint, full pull + Spark-side filter</w:t>
      </w:r>
    </w:p>
    <w:p>
      <w:pPr>
        <w:spacing w:after="160"/>
      </w:pPr>
      <w:r>
        <w:t xml:space="preserve">Query-pushdown via the JDBC connector's query option was abandoned after hitting a documented AWS Glue bug; the working alternative pulls each table in full via dbtable and filters/joins in Spark after the read.</w:t>
      </w:r>
    </w:p>
    <w:p>
      <w:pPr>
        <w:pStyle w:val="Heading1"/>
        <w:spacing w:after="140" w:before="280"/>
      </w:pPr>
      <w:r>
        <w:t xml:space="preserve">5. S3 Bucket &amp; Folder Architecture</w:t>
      </w:r>
    </w:p>
    <w:p>
      <w:pPr>
        <w:spacing w:after="160"/>
      </w:pPr>
      <w:r>
        <w:t xml:space="preserve">Single bucket (dea-global-partners-rhk). Block Public Access fully enabled, versioning enabled, SSE-KMS default encryption using the AWS-managed key.</w:t>
      </w:r>
    </w:p>
    <w:p>
      <w:pPr>
        <w:pStyle w:val="ListParagraph"/>
        <w:numPr>
          <w:ilvl w:val="0"/>
          <w:numId w:val="1"/>
        </w:numPr>
        <w:spacing w:after="100"/>
      </w:pPr>
      <w:r>
        <w:t xml:space="preserve">raw/ — partitioned by dt=&lt;ingestion date&gt;, per table. Append-only audit trail.</w:t>
      </w:r>
    </w:p>
    <w:p>
      <w:pPr>
        <w:pStyle w:val="ListParagraph"/>
        <w:numPr>
          <w:ilvl w:val="0"/>
          <w:numId w:val="1"/>
        </w:numPr>
        <w:spacing w:after="100"/>
      </w:pPr>
      <w:r>
        <w:t xml:space="preserve">processed/ — cleaned, typed, standardized-column-name output per source table, no cross-table join. Full overwrite each run.</w:t>
      </w:r>
    </w:p>
    <w:p>
      <w:pPr>
        <w:pStyle w:val="ListParagraph"/>
        <w:numPr>
          <w:ilvl w:val="0"/>
          <w:numId w:val="1"/>
        </w:numPr>
        <w:spacing w:after="100"/>
      </w:pPr>
      <w:r>
        <w:t xml:space="preserve">marts/ — seven metric tables. Full overwrite each run.</w:t>
      </w:r>
    </w:p>
    <w:p>
      <w:pPr>
        <w:pStyle w:val="ListParagraph"/>
        <w:numPr>
          <w:ilvl w:val="0"/>
          <w:numId w:val="1"/>
        </w:numPr>
        <w:spacing w:after="100"/>
      </w:pPr>
      <w:r>
        <w:t xml:space="preserve">scripts/ — Glue ETL PySpark job scripts, deployed automatically by GitHub Actions CD.</w:t>
      </w:r>
    </w:p>
    <w:p>
      <w:pPr>
        <w:pStyle w:val="ListParagraph"/>
        <w:numPr>
          <w:ilvl w:val="0"/>
          <w:numId w:val="1"/>
        </w:numPr>
        <w:spacing w:after="100"/>
      </w:pPr>
      <w:r>
        <w:t xml:space="preserve">athena-results/ — Athena query output location.</w:t>
      </w:r>
    </w:p>
    <w:p>
      <w:pPr>
        <w:pStyle w:val="Heading1"/>
        <w:spacing w:after="140" w:before="280"/>
      </w:pPr>
      <w:r>
        <w:t xml:space="preserve">6. VPC Networking &amp; Connectivity</w:t>
      </w:r>
    </w:p>
    <w:p>
      <w:pPr>
        <w:spacing w:after="160"/>
      </w:pPr>
      <w:r>
        <w:t xml:space="preserve">Connecting a VPC-attached Glue ETL job to RDS and supporting AWS services required considerably more infrastructure than a typical AWS-to-AWS connection, surfaced through a multi-stage troubleshooting process. Governing fact: Glue's elastic network interfaces are private-IP-only by design (per AWS's own documentation), regardless of the subnet's own public-IP/Internet-Gateway configuration — every AWS service the Glue job needs outside RDS itself requires an explicit private network path.</w:t>
      </w:r>
    </w:p>
    <w:p>
      <w:pPr>
        <w:spacing w:after="160"/>
      </w:pPr>
      <w:r>
        <w:rPr>
          <w:b/>
          <w:bCs/>
        </w:rPr>
        <w:t xml:space="preserve">Issues found and fixed, in the order encountered</w:t>
      </w:r>
    </w:p>
    <w:p>
      <w:pPr>
        <w:pStyle w:val="ListParagraph"/>
        <w:numPr>
          <w:ilvl w:val="0"/>
          <w:numId w:val="1"/>
        </w:numPr>
        <w:spacing w:after="100"/>
      </w:pPr>
      <w:r>
        <w:t xml:space="preserve">Missing IAM permission (ec2:DescribeVpcs) — a genuine gap in the AWS-managed AWSGlueServiceRole policy relative to its own documented VPC-connection requirements. Fixed via a targeted inline policy.</w:t>
      </w:r>
    </w:p>
    <w:p>
      <w:pPr>
        <w:pStyle w:val="ListParagraph"/>
        <w:numPr>
          <w:ilvl w:val="0"/>
          <w:numId w:val="1"/>
        </w:numPr>
        <w:spacing w:after="100"/>
      </w:pPr>
      <w:r>
        <w:t xml:space="preserve">Glue's ENIs could not reach STS or Secrets Manager — both required for the extract job to assume its role and retrieve RDS credentials. Fixed via VPC interface endpoints.</w:t>
      </w:r>
    </w:p>
    <w:p>
      <w:pPr>
        <w:pStyle w:val="ListParagraph"/>
        <w:numPr>
          <w:ilvl w:val="0"/>
          <w:numId w:val="1"/>
        </w:numPr>
        <w:spacing w:after="100"/>
      </w:pPr>
      <w:r>
        <w:t xml:space="preserve">Proactively added S3 (gateway, free) and CloudWatch Logs (interface) endpoints once the pattern was understood, rather than discovering them via two more sequential failures.</w:t>
      </w:r>
    </w:p>
    <w:p>
      <w:pPr>
        <w:pStyle w:val="ListParagraph"/>
        <w:numPr>
          <w:ilvl w:val="0"/>
          <w:numId w:val="1"/>
        </w:numPr>
        <w:spacing w:after="100"/>
      </w:pPr>
      <w:r>
        <w:t xml:space="preserve">Security group did not allow Spark's driver/executor traffic pattern — per AWS's own Glue troubleshooting docs, Spark requires an ALL TCP self-referencing rule for internal driver/executor coordination, beyond the narrower service-specific rules already in place. This was the final blocker; the connection succeeded immediately after this fix.</w:t>
      </w:r>
    </w:p>
    <w:p>
      <w:pPr>
        <w:pStyle w:val="ListParagraph"/>
        <w:numPr>
          <w:ilvl w:val="0"/>
          <w:numId w:val="1"/>
        </w:numPr>
        <w:spacing w:after="100"/>
      </w:pPr>
      <w:r>
        <w:t xml:space="preserve">A fifth endpoint (SSM) was needed once the Glue Connection was correctly attached to the job — attaching it routed the entire job's networking into the VPC, including previously-unrouted driver-level boto3 checkpoint calls.</w:t>
      </w:r>
    </w:p>
    <w:p>
      <w:pPr>
        <w:spacing w:after="160"/>
      </w:pPr>
      <w:r>
        <w:t xml:space="preserve">Alternative considered and rejected: a single NAT Gateway (~$32/month) versus the endpoint-per-service approach (~$29/month combined for four interface endpoints, S3 gateway free) — rejected given this project's small scale and that the full endpoint list, once identified, resolved the issue without further surprises. Full incident-level detail preserved in glue_rds_connection_troubleshooting_writeup.md.</w:t>
      </w:r>
    </w:p>
    <w:p>
      <w:pPr>
        <w:pStyle w:val="Heading1"/>
        <w:spacing w:after="140" w:before="280"/>
      </w:pPr>
      <w:r>
        <w:t xml:space="preserve">7. IAM Roles &amp; Policies</w:t>
      </w:r>
    </w:p>
    <w:p>
      <w:pPr>
        <w:spacing w:after="160"/>
      </w:pPr>
      <w:r>
        <w:t xml:space="preserve">Least-privilege, new-roles-per-project discipline: four Glue service roles plus one CI/CD federation role, none reused or widened from prior projects even where permission shapes were similar.</w:t>
      </w:r>
    </w:p>
    <w:p>
      <w:pPr>
        <w:pStyle w:val="ListParagraph"/>
        <w:numPr>
          <w:ilvl w:val="0"/>
          <w:numId w:val="1"/>
        </w:numPr>
        <w:spacing w:after="100"/>
      </w:pPr>
      <w:r>
        <w:t xml:space="preserve">dea-global-partners-glue-extract-role — RDS → S3 raw/. The only Glue role needing VPC networking and Secrets Manager permissions.</w:t>
      </w:r>
    </w:p>
    <w:p>
      <w:pPr>
        <w:pStyle w:val="ListParagraph"/>
        <w:numPr>
          <w:ilvl w:val="0"/>
          <w:numId w:val="1"/>
        </w:numPr>
        <w:spacing w:after="100"/>
      </w:pPr>
      <w:r>
        <w:t xml:space="preserve">dea-global-partners-glue-transform-role — S3 raw/ → processed/. Includes s3:DeleteObject for overwrite-mode writes.</w:t>
      </w:r>
    </w:p>
    <w:p>
      <w:pPr>
        <w:pStyle w:val="ListParagraph"/>
        <w:numPr>
          <w:ilvl w:val="0"/>
          <w:numId w:val="1"/>
        </w:numPr>
        <w:spacing w:after="100"/>
      </w:pPr>
      <w:r>
        <w:t xml:space="preserve">dea-global-partners-glue-aggregate-role — S3 processed/ → marts/. Same overwrite-mode requirement.</w:t>
      </w:r>
    </w:p>
    <w:p>
      <w:pPr>
        <w:pStyle w:val="ListParagraph"/>
        <w:numPr>
          <w:ilvl w:val="0"/>
          <w:numId w:val="1"/>
        </w:numPr>
        <w:spacing w:after="100"/>
      </w:pPr>
      <w:r>
        <w:t xml:space="preserve">dea-global-partners-glue-crawler-role — reads marts/ only (deliberately scoped, not raw/processed, since QuickSight/Athena never need those layers), writes to the Glue Data Catalog.</w:t>
      </w:r>
    </w:p>
    <w:p>
      <w:pPr>
        <w:pStyle w:val="ListParagraph"/>
        <w:numPr>
          <w:ilvl w:val="0"/>
          <w:numId w:val="1"/>
        </w:numPr>
        <w:spacing w:after="100"/>
      </w:pPr>
      <w:r>
        <w:t xml:space="preserve">dea-global-partners-github-actions-role — federated via GitHub's OIDC provider. See Section 13 for a significant trust-policy issue encountered and resolved.</w:t>
      </w:r>
    </w:p>
    <w:p>
      <w:pPr>
        <w:spacing w:after="160"/>
      </w:pPr>
      <w:r>
        <w:t xml:space="preserve">Two permissions gaps found and fixed, then applied proactively to remaining roles before they were needed: (1) Glue itself requires s3:GetObject on the script file (scripts/*) as a bootstrap step, distinct from what the job's runtime logic needs; (2) the GitHub Actions role's Glue update permission alone was insufficient — aws glue update-job requires iam:PassRole on the specific execution role being associated with the job, a standard AWS pattern whenever one IAM identity hands another role to a service on its behalf. Both fixed and scoped to exact resource ARNs, not wildcards.</w:t>
      </w:r>
    </w:p>
    <w:p>
      <w:pPr>
        <w:pStyle w:val="Heading1"/>
        <w:spacing w:after="140" w:before="280"/>
      </w:pPr>
      <w:r>
        <w:t xml:space="preserve">8. ETL / Data Processing Plan</w:t>
      </w:r>
    </w:p>
    <w:p>
      <w:pPr>
        <w:spacing w:after="160"/>
      </w:pPr>
      <w:r>
        <w:rPr>
          <w:b/>
          <w:bCs/>
        </w:rPr>
        <w:t xml:space="preserve">Extract (Glue ETL, PySpark) — built, deployed, verified</w:t>
      </w:r>
    </w:p>
    <w:p>
      <w:pPr>
        <w:spacing w:after="160"/>
      </w:pPr>
      <w:r>
        <w:t xml:space="preserve">Checkpoint-based incremental extraction via SSM Parameter Store. Verified: a run against an unchanged source correctly returned zero new rows and skipped the write, confirmed via job logs — direct evidence the incremental filter works as designed. Known operational gotcha: deleting raw/ output without resetting the checkpoint creates a data gap, since the checkpoint tracks source watermark position only, not destination file state.</w:t>
      </w:r>
    </w:p>
    <w:p>
      <w:pPr>
        <w:spacing w:after="160"/>
      </w:pPr>
      <w:r>
        <w:rPr>
          <w:b/>
          <w:bCs/>
        </w:rPr>
        <w:t xml:space="preserve">Transform (Glue ETL, PySpark) — built, deployed, verified</w:t>
      </w:r>
    </w:p>
    <w:p>
      <w:pPr>
        <w:spacing w:after="160"/>
      </w:pPr>
      <w:r>
        <w:t xml:space="preserve">Standardizes column names to lowercase snake_case, writes three separately cleaned tables to processed/ (no cross-table join — deferred to the aggregate layer, same pattern as Healthcare Metrics). Date parsing required handling two distinct format issues, both confirmed via direct data inspection rather than assumption: order_items.CREATION_TIME_UTC has inconsistent fractional-second precision (187 of 203,519 rows omit milliseconds entirely, requiring a coalesced multi-format parse), and date_dim.date_key is stored as DD-MM-YYYY text requiring explicit parsing rather than string comparison.</w:t>
      </w:r>
    </w:p>
    <w:p>
      <w:pPr>
        <w:spacing w:after="160"/>
      </w:pPr>
      <w:r>
        <w:rPr>
          <w:b/>
          <w:bCs/>
        </w:rPr>
        <w:t xml:space="preserve">Aggregate (Glue ETL, PySpark) — all seven marts built, individually validated, deployed, and re-verified after two data-quality fixes</w:t>
      </w:r>
    </w:p>
    <w:p>
      <w:pPr>
        <w:spacing w:after="160"/>
      </w:pPr>
      <w:r>
        <w:t xml:space="preserve">All aggregation logic runs in PySpark, not Athena CTAS, per the project's explicit requirement. Each of the seven metrics is wrapped in try/except so a failure in one does not block the others; the job still correctly reports overall failure if anything failed, preserving an accurate signal for Glue Workflow's retry logic even though successfully-computed marts are not rolled back.</w:t>
      </w:r>
    </w:p>
    <w:p>
      <w:pPr>
        <w:pStyle w:val="Heading1"/>
        <w:spacing w:after="140" w:before="280"/>
      </w:pPr>
      <w:r>
        <w:t xml:space="preserve">8.1 Data Quality Investigation: is_likely_non_individual</w:t>
      </w:r>
    </w:p>
    <w:p>
      <w:pPr>
        <w:spacing w:after="160"/>
      </w:pPr>
      <w:r>
        <w:t xml:space="preserve">A loyalty-consistency check surfaced 19 user_ids with implausible order volume (700–2,500+ line items across the ~4-year span, several spanning 6–19 distinct restaurant_ids, mostly with no card on file, one ordering on 81% of all active days). Independently verified against source RDS data directly — exact count matches for all 10 directly-investigated accounts, ruling out a pipeline duplication bug. Threshold (500 line items) chosen from the actual distribution shape: a smooth long tail through the 99.9th percentile (372), then a sharp discontinuity to the 99.99th percentile (1,131). Implemented as a FLAG joined onto clv_daily, customer_segments_rfm, and churn_risk — not a filter; no rows excluded from any mart. Open question for the SME: whether these represent known corporate/catering accounts or a data quality issue to exclude.</w:t>
      </w:r>
    </w:p>
    <w:p>
      <w:pPr>
        <w:pStyle w:val="Heading1"/>
        <w:spacing w:after="140" w:before="280"/>
      </w:pPr>
      <w:r>
        <w:t xml:space="preserve">8.2 Data Quality Fix: Item Price Anomalies</w:t>
      </w:r>
    </w:p>
    <w:p>
      <w:pPr>
        <w:spacing w:after="160"/>
      </w:pPr>
      <w:r>
        <w:t xml:space="preserve">Investigation triggered by an unrealistic single-day revenue spike visible in the Sales Trends dashboard (~$2.5M from just 20 orders on one day, against a ~$10M/4-year total). Root-caused to individual line items priced at extreme multiples of that same item's own median price — e.g., Korean Kimchi recorded at $5,000 in one row versus its normal ~$30 elsewhere in the data, confirmed by direct comparison against the same item name's other occurrences.</w:t>
      </w:r>
    </w:p>
    <w:p>
      <w:pPr>
        <w:spacing w:after="160"/>
      </w:pPr>
      <w:r>
        <w:t xml:space="preserve">Distinguished from legitimate high-quantity catering orders (which showed NORMAL per-unit pricing at large quantities — price_ratio ≈ 1x) by comparing each row's price against that item's own median rather than a flat dollar or quantity threshold; a flat threshold would have incorrectly excluded genuine bulk orders alongside the real errors. Threshold (20x) chosen from the actual ratio distribution computed directly against the source data: p99 = 3x, p99.9 = 9x, confirming legitimate price variation tops out under 10x; 20x sits comfortably above that ceiling while catching the confirmed genuine errors (140x–500x) with wide margin. Excludes 37 of 203,519 line items (0.018%).</w:t>
      </w:r>
    </w:p>
    <w:p>
      <w:pPr>
        <w:spacing w:after="160"/>
      </w:pPr>
      <w:r>
        <w:t xml:space="preserve">Implemented as a filter (not a flag) at the top of aggregate_job.py, before any downstream computation, so every mart derived from order_items reflects corrected revenue — including a compounding interaction worth noting: 3 of the 37 anomalous rows belong to accounts already flagged as is_likely_non_individual, meaning those specific accounts' monetary/CLV figures were inflated by two independent, now both-corrected, issues. Re-verified after the fix: the Sales Trends single-day maximum dropped from ~$2.5M (Y-axis scale 3M) to ~$24K (Y-axis scale 25K) — confirmed as genuine remaining variance, not residual bad data, via order-count and average-order-value sanity checks on the new top days.</w:t>
      </w:r>
    </w:p>
    <w:p>
      <w:pPr>
        <w:spacing w:after="160"/>
      </w:pPr>
      <w:r>
        <w:t xml:space="preserve">Known limitation, documented as a future enhancement rather than implemented: unlike is_likely_non_individual, this correction is not currently exposed as a queryable flag on any mart — the anomalous rows exist only at line-item grain, which isn't carried forward into any (already-aggregated) mart table. A flag-based approach, consistent with location_performance's flagged_account_revenue informational-column pattern, could be retrofitted if live in-dashboard filtering of anomaly-affected periods is needed later.</w:t>
      </w:r>
    </w:p>
    <w:p>
      <w:pPr>
        <w:pStyle w:val="Heading1"/>
        <w:spacing w:after="140" w:before="280"/>
      </w:pPr>
      <w:r>
        <w:t xml:space="preserve">8.3 Mart-by-Mart Summary</w:t>
      </w:r>
    </w:p>
    <w:p>
      <w:pPr>
        <w:spacing w:after="160"/>
      </w:pPr>
      <w:r>
        <w:rPr>
          <w:b/>
          <w:bCs/>
        </w:rPr>
        <w:t xml:space="preserve">clv_daily — verified</w:t>
      </w:r>
    </w:p>
    <w:p>
      <w:pPr>
        <w:spacing w:after="160"/>
      </w:pPr>
      <w:r>
        <w:t xml:space="preserve">One row per user_id per order date actually ordered on. Revenue per line item includes attached option prices. user_id-null line items excluded (17,808 of 203,519, 8.75%). Cumulative CLV via Spark window function. Verified: monotonically non-decreasing for every one of 20,174 customers (0 violations).</w:t>
      </w:r>
    </w:p>
    <w:p>
      <w:pPr>
        <w:spacing w:after="160"/>
      </w:pPr>
      <w:r>
        <w:rPr>
          <w:b/>
          <w:bCs/>
        </w:rPr>
        <w:t xml:space="preserve">customer_segments_rfm — verified</w:t>
      </w:r>
    </w:p>
    <w:p>
      <w:pPr>
        <w:spacing w:after="160"/>
      </w:pPr>
      <w:r>
        <w:t xml:space="preserve">One row per customer. Recency anchored to the dataset's own most recent order date. Quintile scoring via ntile(5); recency inverted to keep 5=best consistent. Segment labels (VIP/New/Churn Risk/Regular) match requirements doc language. Verified: 20,174 rows, all scores in valid 1–5 range, zero nulls, New-segment invariant confirmed with zero violations.</w:t>
      </w:r>
    </w:p>
    <w:p>
      <w:pPr>
        <w:spacing w:after="160"/>
      </w:pPr>
      <w:r>
        <w:rPr>
          <w:b/>
          <w:bCs/>
        </w:rPr>
        <w:t xml:space="preserve">churn_risk — verified</w:t>
      </w:r>
    </w:p>
    <w:p>
      <w:pPr>
        <w:spacing w:after="160"/>
      </w:pPr>
      <w:r>
        <w:t xml:space="preserve">Two complementary signals: risk_tier (fixed 30/90-day thresholds — a business assumption worth SME tuning) and is_overdue (behavioral, relative to each customer's own cadence). Verified: tier logic confirmed monotonic; is_overdue independently recomputed and matched with zero discrepancies. Known interpretive caveat: 81% show as 'Churned', a structural consequence of a single fixed reference date over a ~4-year static dataset.</w:t>
      </w:r>
    </w:p>
    <w:p>
      <w:pPr>
        <w:spacing w:after="160"/>
      </w:pPr>
      <w:r>
        <w:rPr>
          <w:b/>
          <w:bCs/>
        </w:rPr>
        <w:t xml:space="preserve">sales_trends — verified, corrected</w:t>
      </w:r>
    </w:p>
    <w:p>
      <w:pPr>
        <w:spacing w:after="160"/>
      </w:pPr>
      <w:r>
        <w:t xml:space="preserve">One row per calendar date, business-level (null-user_id line items INCLUDED, unlike customer-level metrics). Grand totals after the price-anomaly fix serve as the reconciliation baseline for loyalty_impact and location_performance.</w:t>
      </w:r>
    </w:p>
    <w:p>
      <w:pPr>
        <w:spacing w:after="160"/>
      </w:pPr>
      <w:r>
        <w:rPr>
          <w:b/>
          <w:bCs/>
        </w:rPr>
        <w:t xml:space="preserve">Cross-cutting fix: date_dim coverage gap</w:t>
      </w:r>
    </w:p>
    <w:p>
      <w:pPr>
        <w:spacing w:after="160"/>
      </w:pPr>
      <w:r>
        <w:t xml:space="preserve">date_dim covers only ~365 days against a ~3.8-year order history. Calendar attributes (year/month/week/day-of-week/weekend) are derived directly from dates via Spark's built-in functions rather than joined from date_dim, avoiding silently losing them for 73% of dates. Only is_holiday/holiday_name remain genuinely null outside date_dim's actual coverage.</w:t>
      </w:r>
    </w:p>
    <w:p>
      <w:pPr>
        <w:spacing w:after="160"/>
      </w:pPr>
      <w:r>
        <w:rPr>
          <w:b/>
          <w:bCs/>
        </w:rPr>
        <w:t xml:space="preserve">loyalty_impact — verified</w:t>
      </w:r>
    </w:p>
    <w:p>
      <w:pPr>
        <w:spacing w:after="160"/>
      </w:pPr>
      <w:r>
        <w:t xml:space="preserve">Grain: (is_loyalty, is_likely_non_individual), order-level — is_loyalty confirmed inconsistent per customer (2,783 customers show both True and False across orders), so average CLV per loyalty group was deliberately excluded. Verified: summed revenue/order count reconciled exactly against sales_trends's grand totals. Notable finding: non-loyalty orders average $78.53 vs. $16.18 for loyalty-flagged orders — a ~5x difference worth surfacing to the SME.</w:t>
      </w:r>
    </w:p>
    <w:p>
      <w:pPr>
        <w:spacing w:after="160"/>
      </w:pPr>
      <w:r>
        <w:rPr>
          <w:b/>
          <w:bCs/>
        </w:rPr>
        <w:t xml:space="preserve">location_performance — verified</w:t>
      </w:r>
    </w:p>
    <w:p>
      <w:pPr>
        <w:spacing w:after="160"/>
      </w:pPr>
      <w:r>
        <w:t xml:space="preserve">One row per restaurant_id. is_likely_non_individual surfaced as informational columns rather than a second grouping dimension. Verified: reconciled exactly against sales_trends. Notable findings: one location accounts for ~53% of total business revenue, worth confirming with the SME as real vs. dataset artifact; several individual locations show flagged_revenue_share at or near 100% due to their small overall volume.</w:t>
      </w:r>
    </w:p>
    <w:p>
      <w:pPr>
        <w:spacing w:after="160"/>
      </w:pPr>
      <w:r>
        <w:rPr>
          <w:b/>
          <w:bCs/>
        </w:rPr>
        <w:t xml:space="preserve">discount_effectiveness — scope substituted, verified</w:t>
      </w:r>
    </w:p>
    <w:p>
      <w:pPr>
        <w:spacing w:after="160"/>
      </w:pPr>
      <w:r>
        <w:t xml:space="preserve">No discount/promo field or negative-price pattern exists in the source data. Repurposed as a PRICE-TIER analysis (which price points drive volume/revenue) — the closest legitimate question this data can answer, explicitly not presented as literal discount effectiveness. Flagged for the SME.</w:t>
      </w:r>
    </w:p>
    <w:p>
      <w:pPr>
        <w:pStyle w:val="Heading1"/>
        <w:spacing w:after="140" w:before="280"/>
      </w:pPr>
      <w:r>
        <w:t xml:space="preserve">9. Known Data Quality Issues</w:t>
      </w:r>
    </w:p>
    <w:p>
      <w:pPr>
        <w:pStyle w:val="ListParagraph"/>
        <w:numPr>
          <w:ilvl w:val="0"/>
          <w:numId w:val="1"/>
        </w:numPr>
        <w:spacing w:after="100"/>
      </w:pPr>
      <w:r>
        <w:t xml:space="preserve">order_item_options → order_items join: 28 of 193,017 rows (0.0145%) are true orphans (ORDER_ID with no corresponding order_items row), confirmed via independent verification against the source RDS data.</w:t>
      </w:r>
    </w:p>
    <w:p>
      <w:pPr>
        <w:pStyle w:val="ListParagraph"/>
        <w:numPr>
          <w:ilvl w:val="0"/>
          <w:numId w:val="1"/>
        </w:numPr>
        <w:spacing w:after="100"/>
      </w:pPr>
      <w:r>
        <w:t xml:space="preserve">date_dim.date_key stored as DD-MM-YYYY text, parsed explicitly rather than compared as a string.</w:t>
      </w:r>
    </w:p>
    <w:p>
      <w:pPr>
        <w:pStyle w:val="ListParagraph"/>
        <w:numPr>
          <w:ilvl w:val="0"/>
          <w:numId w:val="1"/>
        </w:numPr>
        <w:spacing w:after="100"/>
      </w:pPr>
      <w:r>
        <w:t xml:space="preserve">order_items.CREATION_TIME_UTC has inconsistent fractional-second precision (187 of 203,519 rows, 0.09%), resolved via coalesced multi-format parsing.</w:t>
      </w:r>
    </w:p>
    <w:p>
      <w:pPr>
        <w:pStyle w:val="ListParagraph"/>
        <w:numPr>
          <w:ilvl w:val="0"/>
          <w:numId w:val="1"/>
        </w:numPr>
        <w:spacing w:after="100"/>
      </w:pPr>
      <w:r>
        <w:t xml:space="preserve">date_dim covers only ~365 days against a ~3.8-year order history; calendar attributes derived directly from dates rather than joined (see Section 8.3).</w:t>
      </w:r>
    </w:p>
    <w:p>
      <w:pPr>
        <w:pStyle w:val="ListParagraph"/>
        <w:numPr>
          <w:ilvl w:val="0"/>
          <w:numId w:val="1"/>
        </w:numPr>
        <w:spacing w:after="100"/>
      </w:pPr>
      <w:r>
        <w:t xml:space="preserve">37 of 203,519 line items (0.018%) carried item prices at 140x–500x that item's own median price, confirmed as genuine data errors (not legitimate bulk pricing) and excluded via a ratio-based filter (see Section 8.2).</w:t>
      </w:r>
    </w:p>
    <w:p>
      <w:pPr>
        <w:pStyle w:val="ListParagraph"/>
        <w:numPr>
          <w:ilvl w:val="0"/>
          <w:numId w:val="1"/>
        </w:numPr>
        <w:spacing w:after="100"/>
      </w:pPr>
      <w:r>
        <w:t xml:space="preserve">PRINTED_CARD_NUMBER loaded as varchar per the requirements doc's own 'String' designation.</w:t>
      </w:r>
    </w:p>
    <w:p>
      <w:pPr>
        <w:pStyle w:val="ListParagraph"/>
        <w:numPr>
          <w:ilvl w:val="0"/>
          <w:numId w:val="1"/>
        </w:numPr>
        <w:spacing w:after="100"/>
      </w:pPr>
      <w:r>
        <w:t xml:space="preserve">19 of 20,174 customers (0.094%) show order volume far beyond plausible individual behavior, independently confirmed against source RDS data; flagged via is_likely_non_individual rather than excluded (Section 8.1). 3 of these 19 accounts also carried item-price anomalies (Section 8.2) — a compounding, not competing, finding.</w:t>
      </w:r>
    </w:p>
    <w:p>
      <w:pPr>
        <w:pStyle w:val="Heading1"/>
        <w:spacing w:after="140" w:before="280"/>
      </w:pPr>
      <w:r>
        <w:t xml:space="preserve">10. Cost Considerations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800"/>
      </w:tblGrid>
      <w:tr>
        <w:trPr>
          <w:tblHeader/>
        </w:trPr>
        <w:tc>
          <w:tcPr>
            <w:tcW w:type="dxa" w:w="3200"/>
            <w:shd w:fill="DDEBF7" w:val="clear"/>
          </w:tcPr>
          <w:p>
            <w:r>
              <w:rPr>
                <w:b/>
                <w:bCs/>
              </w:rPr>
              <w:t xml:space="preserve">Service</w:t>
            </w:r>
          </w:p>
        </w:tc>
        <w:tc>
          <w:tcPr>
            <w:tcW w:type="dxa" w:w="3000"/>
            <w:shd w:fill="DDEBF7" w:val="clear"/>
          </w:tcPr>
          <w:p>
            <w:r>
              <w:rPr>
                <w:b/>
                <w:bCs/>
              </w:rPr>
              <w:t xml:space="preserve">Est. monthly cost driver</w:t>
            </w:r>
          </w:p>
        </w:tc>
        <w:tc>
          <w:tcPr>
            <w:tcW w:type="dxa" w:w="3800"/>
            <w:shd w:fill="DDEBF7" w:val="clear"/>
          </w:tcPr>
          <w:p>
            <w:r>
              <w:rPr>
                <w:b/>
                <w:bCs/>
              </w:rPr>
              <w:t xml:space="preserve">Notes</w:t>
            </w:r>
          </w:p>
        </w:tc>
      </w:tr>
      <w:tr>
        <w:tc>
          <w:tcPr>
            <w:tcW w:type="dxa" w:w="3200"/>
          </w:tcPr>
          <w:p>
            <w:r>
              <w:t xml:space="preserve">RDS (db.t3.small)</w:t>
            </w:r>
          </w:p>
        </w:tc>
        <w:tc>
          <w:tcPr>
            <w:tcW w:type="dxa" w:w="3000"/>
          </w:tcPr>
          <w:p>
            <w:r>
              <w:t xml:space="preserve">~$25–30/mo if left running</w:t>
            </w:r>
          </w:p>
        </w:tc>
        <w:tc>
          <w:tcPr>
            <w:tcW w:type="dxa" w:w="3800"/>
          </w:tcPr>
          <w:p>
            <w:r>
              <w:t xml:space="preserve">Upgraded from db.t3.micro after repeated memory-grant failures during index builds and full-table JDBC reads.</w:t>
            </w:r>
          </w:p>
        </w:tc>
      </w:tr>
      <w:tr>
        <w:tc>
          <w:tcPr>
            <w:tcW w:type="dxa" w:w="3200"/>
          </w:tcPr>
          <w:p>
            <w:r>
              <w:t xml:space="preserve">RDS storage (gp2, 20 GiB)</w:t>
            </w:r>
          </w:p>
        </w:tc>
        <w:tc>
          <w:tcPr>
            <w:tcW w:type="dxa" w:w="3000"/>
          </w:tcPr>
          <w:p>
            <w:r>
              <w:t xml:space="preserve">Free tier eligible</w:t>
            </w:r>
          </w:p>
        </w:tc>
        <w:tc>
          <w:tcPr>
            <w:tcW w:type="dxa" w:w="3800"/>
          </w:tcPr>
          <w:p>
            <w:r>
              <w:t xml:space="preserve">gp2 specifically — gp3 is not covered by the RDS free tier at the same size.</w:t>
            </w:r>
          </w:p>
        </w:tc>
      </w:tr>
      <w:tr>
        <w:tc>
          <w:tcPr>
            <w:tcW w:type="dxa" w:w="3200"/>
          </w:tcPr>
          <w:p>
            <w:r>
              <w:t xml:space="preserve">VPC interface endpoints (STS, Secrets Manager, SSM, CloudWatch Logs)</w:t>
            </w:r>
          </w:p>
        </w:tc>
        <w:tc>
          <w:tcPr>
            <w:tcW w:type="dxa" w:w="3000"/>
          </w:tcPr>
          <w:p>
            <w:r>
              <w:t xml:space="preserve">~$29/mo (4 × ~$7.30)</w:t>
            </w:r>
          </w:p>
        </w:tc>
        <w:tc>
          <w:tcPr>
            <w:tcW w:type="dxa" w:w="3800"/>
          </w:tcPr>
          <w:p>
            <w:r>
              <w:t xml:space="preserve">Required because Glue ENIs are private-IP-only; see Section 6.</w:t>
            </w:r>
          </w:p>
        </w:tc>
      </w:tr>
      <w:tr>
        <w:tc>
          <w:tcPr>
            <w:tcW w:type="dxa" w:w="3200"/>
          </w:tcPr>
          <w:p>
            <w:r>
              <w:t xml:space="preserve">VPC gateway endpoint (S3)</w:t>
            </w:r>
          </w:p>
        </w:tc>
        <w:tc>
          <w:tcPr>
            <w:tcW w:type="dxa" w:w="3000"/>
          </w:tcPr>
          <w:p>
            <w:r>
              <w:t xml:space="preserve">$0</w:t>
            </w:r>
          </w:p>
        </w:tc>
        <w:tc>
          <w:tcPr>
            <w:tcW w:type="dxa" w:w="3800"/>
          </w:tcPr>
          <w:p>
            <w:r>
              <w:t xml:space="preserve">Free; route-table based, not ENI based.</w:t>
            </w:r>
          </w:p>
        </w:tc>
      </w:tr>
      <w:tr>
        <w:tc>
          <w:tcPr>
            <w:tcW w:type="dxa" w:w="3200"/>
          </w:tcPr>
          <w:p>
            <w:r>
              <w:t xml:space="preserve">Glue ETL (PySpark) × 3 jobs</w:t>
            </w:r>
          </w:p>
        </w:tc>
        <w:tc>
          <w:tcPr>
            <w:tcW w:type="dxa" w:w="3000"/>
          </w:tcPr>
          <w:p>
            <w:r>
              <w:t xml:space="preserve">Per DPU-hour, 2 workers/G.1X floor</w:t>
            </w:r>
          </w:p>
        </w:tc>
        <w:tc>
          <w:tcPr>
            <w:tcW w:type="dxa" w:w="3800"/>
          </w:tcPr>
          <w:p>
            <w:r>
              <w:t xml:space="preserve">Deliberately not over-provisioned.</w:t>
            </w:r>
          </w:p>
        </w:tc>
      </w:tr>
      <w:tr>
        <w:tc>
          <w:tcPr>
            <w:tcW w:type="dxa" w:w="3200"/>
          </w:tcPr>
          <w:p>
            <w:r>
              <w:t xml:space="preserve">Secrets Manager</w:t>
            </w:r>
          </w:p>
        </w:tc>
        <w:tc>
          <w:tcPr>
            <w:tcW w:type="dxa" w:w="3000"/>
          </w:tcPr>
          <w:p>
            <w:r>
              <w:t xml:space="preserve">~$0.40/mo</w:t>
            </w:r>
          </w:p>
        </w:tc>
        <w:tc>
          <w:tcPr>
            <w:tcW w:type="dxa" w:w="3800"/>
          </w:tcPr>
          <w:p>
            <w:r>
              <w:t xml:space="preserve">One secret for RDS credentials.</w:t>
            </w:r>
          </w:p>
        </w:tc>
      </w:tr>
      <w:tr>
        <w:tc>
          <w:tcPr>
            <w:tcW w:type="dxa" w:w="3200"/>
          </w:tcPr>
          <w:p>
            <w:r>
              <w:t xml:space="preserve">QuickSight</w:t>
            </w:r>
          </w:p>
        </w:tc>
        <w:tc>
          <w:tcPr>
            <w:tcW w:type="dxa" w:w="3000"/>
          </w:tcPr>
          <w:p>
            <w:r>
              <w:t xml:space="preserve">Trial, then metered per-author/per-session-reader</w:t>
            </w:r>
          </w:p>
        </w:tc>
        <w:tc>
          <w:tcPr>
            <w:tcW w:type="dxa" w:w="3800"/>
          </w:tcPr>
          <w:p>
            <w:r>
              <w:t xml:space="preserve">SME-approved; all seven dashboards built and published within the trial window.</w:t>
            </w:r>
          </w:p>
        </w:tc>
      </w:tr>
      <w:tr>
        <w:tc>
          <w:tcPr>
            <w:tcW w:type="dxa" w:w="3200"/>
          </w:tcPr>
          <w:p>
            <w:r>
              <w:t xml:space="preserve">GitHub Actions</w:t>
            </w:r>
          </w:p>
        </w:tc>
        <w:tc>
          <w:tcPr>
            <w:tcW w:type="dxa" w:w="3000"/>
          </w:tcPr>
          <w:p>
            <w:r>
              <w:t xml:space="preserve">Free (2,000 build-minutes/mo)</w:t>
            </w:r>
          </w:p>
        </w:tc>
        <w:tc>
          <w:tcPr>
            <w:tcW w:type="dxa" w:w="3800"/>
          </w:tcPr>
          <w:p>
            <w:r>
              <w:t xml:space="preserve">Well within usage; repo is public.</w:t>
            </w:r>
          </w:p>
        </w:tc>
      </w:tr>
    </w:tbl>
    <w:p>
      <w:pPr>
        <w:pStyle w:val="Heading1"/>
        <w:spacing w:after="140" w:before="280"/>
      </w:pPr>
      <w:r>
        <w:t xml:space="preserve">11. Alternatives Considered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900"/>
        <w:gridCol w:w="2700"/>
      </w:tblGrid>
      <w:tr>
        <w:trPr>
          <w:tblHeader/>
        </w:trPr>
        <w:tc>
          <w:tcPr>
            <w:tcW w:type="dxa" w:w="1900"/>
            <w:shd w:fill="DDEBF7" w:val="clear"/>
          </w:tcPr>
          <w:p>
            <w:r>
              <w:rPr>
                <w:b/>
                <w:bCs/>
              </w:rPr>
              <w:t xml:space="preserve">Layer</w:t>
            </w:r>
          </w:p>
        </w:tc>
        <w:tc>
          <w:tcPr>
            <w:tcW w:type="dxa" w:w="2500"/>
            <w:shd w:fill="DDEBF7" w:val="clear"/>
          </w:tcPr>
          <w:p>
            <w:r>
              <w:rPr>
                <w:b/>
                <w:bCs/>
              </w:rPr>
              <w:t xml:space="preserve">Selected</w:t>
            </w:r>
          </w:p>
        </w:tc>
        <w:tc>
          <w:tcPr>
            <w:tcW w:type="dxa" w:w="2900"/>
            <w:shd w:fill="DDEBF7" w:val="clear"/>
          </w:tcPr>
          <w:p>
            <w:r>
              <w:rPr>
                <w:b/>
                <w:bCs/>
              </w:rPr>
              <w:t xml:space="preserve">Alternative</w:t>
            </w:r>
          </w:p>
        </w:tc>
        <w:tc>
          <w:tcPr>
            <w:tcW w:type="dxa" w:w="2700"/>
            <w:shd w:fill="DDEBF7" w:val="clear"/>
          </w:tcPr>
          <w:p>
            <w:r>
              <w:rPr>
                <w:b/>
                <w:bCs/>
              </w:rPr>
              <w:t xml:space="preserve">Why not selected</w:t>
            </w:r>
          </w:p>
        </w:tc>
      </w:tr>
      <w:tr>
        <w:tc>
          <w:tcPr>
            <w:tcW w:type="dxa" w:w="1900"/>
          </w:tcPr>
          <w:p>
            <w:r>
              <w:t xml:space="preserve">Dashboard</w:t>
            </w:r>
          </w:p>
        </w:tc>
        <w:tc>
          <w:tcPr>
            <w:tcW w:type="dxa" w:w="2500"/>
          </w:tcPr>
          <w:p>
            <w:r>
              <w:t xml:space="preserve">QuickSight</w:t>
            </w:r>
          </w:p>
        </w:tc>
        <w:tc>
          <w:tcPr>
            <w:tcW w:type="dxa" w:w="2900"/>
          </w:tcPr>
          <w:p>
            <w:r>
              <w:t xml:space="preserve">Streamlit (as specified)</w:t>
            </w:r>
          </w:p>
        </w:tc>
        <w:tc>
          <w:tcPr>
            <w:tcW w:type="dxa" w:w="2700"/>
          </w:tcPr>
          <w:p>
            <w:r>
              <w:t xml:space="preserve">SME approved QuickSight as AWS-native; Streamlit's zero cost arguably satisfied 'no new licenses' at least as well.</w:t>
            </w:r>
          </w:p>
        </w:tc>
      </w:tr>
      <w:tr>
        <w:tc>
          <w:tcPr>
            <w:tcW w:type="dxa" w:w="1900"/>
          </w:tcPr>
          <w:p>
            <w:r>
              <w:t xml:space="preserve">VPC connectivity</w:t>
            </w:r>
          </w:p>
        </w:tc>
        <w:tc>
          <w:tcPr>
            <w:tcW w:type="dxa" w:w="2500"/>
          </w:tcPr>
          <w:p>
            <w:r>
              <w:t xml:space="preserve">Endpoint-per-service</w:t>
            </w:r>
          </w:p>
        </w:tc>
        <w:tc>
          <w:tcPr>
            <w:tcW w:type="dxa" w:w="2900"/>
          </w:tcPr>
          <w:p>
            <w:r>
              <w:t xml:space="preserve">Single NAT Gateway</w:t>
            </w:r>
          </w:p>
        </w:tc>
        <w:tc>
          <w:tcPr>
            <w:tcW w:type="dxa" w:w="2700"/>
          </w:tcPr>
          <w:p>
            <w:r>
              <w:t xml:space="preserve">NAT Gateway costs more at this scale; endpoint approach fully resolved connectivity.</w:t>
            </w:r>
          </w:p>
        </w:tc>
      </w:tr>
      <w:tr>
        <w:tc>
          <w:tcPr>
            <w:tcW w:type="dxa" w:w="1900"/>
          </w:tcPr>
          <w:p>
            <w:r>
              <w:t xml:space="preserve">Extract query strategy</w:t>
            </w:r>
          </w:p>
        </w:tc>
        <w:tc>
          <w:tcPr>
            <w:tcW w:type="dxa" w:w="2500"/>
          </w:tcPr>
          <w:p>
            <w:r>
              <w:t xml:space="preserve">Full pull via dbtable + Spark-side filter/join</w:t>
            </w:r>
          </w:p>
        </w:tc>
        <w:tc>
          <w:tcPr>
            <w:tcW w:type="dxa" w:w="2900"/>
          </w:tcPr>
          <w:p>
            <w:r>
              <w:t xml:space="preserve">Server-side query pushdown</w:t>
            </w:r>
          </w:p>
        </w:tc>
        <w:tc>
          <w:tcPr>
            <w:tcW w:type="dxa" w:w="2700"/>
          </w:tcPr>
          <w:p>
            <w:r>
              <w:t xml:space="preserve">Triggers a documented AWS Glue bug; full pull is computationally free at this volume.</w:t>
            </w:r>
          </w:p>
        </w:tc>
      </w:tr>
      <w:tr>
        <w:tc>
          <w:tcPr>
            <w:tcW w:type="dxa" w:w="1900"/>
          </w:tcPr>
          <w:p>
            <w:r>
              <w:t xml:space="preserve">Orchestration/scheduling</w:t>
            </w:r>
          </w:p>
        </w:tc>
        <w:tc>
          <w:tcPr>
            <w:tcW w:type="dxa" w:w="2500"/>
          </w:tcPr>
          <w:p>
            <w:r>
              <w:t xml:space="preserve">Native Glue Workflow scheduled trigger</w:t>
            </w:r>
          </w:p>
        </w:tc>
        <w:tc>
          <w:tcPr>
            <w:tcW w:type="dxa" w:w="2900"/>
          </w:tcPr>
          <w:p>
            <w:r>
              <w:t xml:space="preserve">EventBridge Scheduler</w:t>
            </w:r>
          </w:p>
        </w:tc>
        <w:tc>
          <w:tcPr>
            <w:tcW w:type="dxa" w:w="2700"/>
          </w:tcPr>
          <w:p>
            <w:r>
              <w:t xml:space="preserve">SME steer; removes one service and one IAM trust relationship.</w:t>
            </w:r>
          </w:p>
        </w:tc>
      </w:tr>
      <w:tr>
        <w:tc>
          <w:tcPr>
            <w:tcW w:type="dxa" w:w="1900"/>
          </w:tcPr>
          <w:p>
            <w:r>
              <w:t xml:space="preserve">CI/CD execution</w:t>
            </w:r>
          </w:p>
        </w:tc>
        <w:tc>
          <w:tcPr>
            <w:tcW w:type="dxa" w:w="2500"/>
          </w:tcPr>
          <w:p>
            <w:r>
              <w:t xml:space="preserve">GitHub Actions (OIDC federation)</w:t>
            </w:r>
          </w:p>
        </w:tc>
        <w:tc>
          <w:tcPr>
            <w:tcW w:type="dxa" w:w="2900"/>
          </w:tcPr>
          <w:p>
            <w:r>
              <w:t xml:space="preserve">AWS CodePipeline</w:t>
            </w:r>
          </w:p>
        </w:tc>
        <w:tc>
          <w:tcPr>
            <w:tcW w:type="dxa" w:w="2700"/>
          </w:tcPr>
          <w:p>
            <w:r>
              <w:t xml:space="preserve">Matches requirement wording; free compute vs. CodePipeline's real cost.</w:t>
            </w:r>
          </w:p>
        </w:tc>
      </w:tr>
      <w:tr>
        <w:tc>
          <w:tcPr>
            <w:tcW w:type="dxa" w:w="1900"/>
          </w:tcPr>
          <w:p>
            <w:r>
              <w:t xml:space="preserve">Transform-to-aggregate join timing</w:t>
            </w:r>
          </w:p>
        </w:tc>
        <w:tc>
          <w:tcPr>
            <w:tcW w:type="dxa" w:w="2500"/>
          </w:tcPr>
          <w:p>
            <w:r>
              <w:t xml:space="preserve">Deferred to aggregate layer</w:t>
            </w:r>
          </w:p>
        </w:tc>
        <w:tc>
          <w:tcPr>
            <w:tcW w:type="dxa" w:w="2900"/>
          </w:tcPr>
          <w:p>
            <w:r>
              <w:t xml:space="preserve">Join in the transform job</w:t>
            </w:r>
          </w:p>
        </w:tc>
        <w:tc>
          <w:tcPr>
            <w:tcW w:type="dxa" w:w="2700"/>
          </w:tcPr>
          <w:p>
            <w:r>
              <w:t xml:space="preserve">order_item_options is a child table; joining early would silently fan out order_items' grain.</w:t>
            </w:r>
          </w:p>
        </w:tc>
      </w:tr>
      <w:tr>
        <w:tc>
          <w:tcPr>
            <w:tcW w:type="dxa" w:w="1900"/>
          </w:tcPr>
          <w:p>
            <w:r>
              <w:t xml:space="preserve">Discount effectiveness</w:t>
            </w:r>
          </w:p>
        </w:tc>
        <w:tc>
          <w:tcPr>
            <w:tcW w:type="dxa" w:w="2500"/>
          </w:tcPr>
          <w:p>
            <w:r>
              <w:t xml:space="preserve">Price-tier analysis (substitute metric)</w:t>
            </w:r>
          </w:p>
        </w:tc>
        <w:tc>
          <w:tcPr>
            <w:tcW w:type="dxa" w:w="2900"/>
          </w:tcPr>
          <w:p>
            <w:r>
              <w:t xml:space="preserve">Literal discount/promo effectiveness</w:t>
            </w:r>
          </w:p>
        </w:tc>
        <w:tc>
          <w:tcPr>
            <w:tcW w:type="dxa" w:w="2700"/>
          </w:tcPr>
          <w:p>
            <w:r>
              <w:t xml:space="preserve">No discount field or negative-price pattern exists in the source data.</w:t>
            </w:r>
          </w:p>
        </w:tc>
      </w:tr>
      <w:tr>
        <w:tc>
          <w:tcPr>
            <w:tcW w:type="dxa" w:w="1900"/>
          </w:tcPr>
          <w:p>
            <w:r>
              <w:t xml:space="preserve">Price anomaly handling</w:t>
            </w:r>
          </w:p>
        </w:tc>
        <w:tc>
          <w:tcPr>
            <w:tcW w:type="dxa" w:w="2500"/>
          </w:tcPr>
          <w:p>
            <w:r>
              <w:t xml:space="preserve">Ratio-to-item-median filter (20x threshold)</w:t>
            </w:r>
          </w:p>
        </w:tc>
        <w:tc>
          <w:tcPr>
            <w:tcW w:type="dxa" w:w="2900"/>
          </w:tcPr>
          <w:p>
            <w:r>
              <w:t xml:space="preserve">Flat dollar/quantity threshold</w:t>
            </w:r>
          </w:p>
        </w:tc>
        <w:tc>
          <w:tcPr>
            <w:tcW w:type="dxa" w:w="2700"/>
          </w:tcPr>
          <w:p>
            <w:r>
              <w:t xml:space="preserve">A flat threshold would have excluded legitimate high-quantity catering orders alongside genuine errors; ratio approach correctly distinguished the two populations.</w:t>
            </w:r>
          </w:p>
        </w:tc>
      </w:tr>
      <w:tr>
        <w:tc>
          <w:tcPr>
            <w:tcW w:type="dxa" w:w="1900"/>
          </w:tcPr>
          <w:p>
            <w:r>
              <w:t xml:space="preserve">Failure notification</w:t>
            </w:r>
          </w:p>
        </w:tc>
        <w:tc>
          <w:tcPr>
            <w:tcW w:type="dxa" w:w="2500"/>
          </w:tcPr>
          <w:p>
            <w:r>
              <w:t xml:space="preserve">Deferred (documented as production requirement)</w:t>
            </w:r>
          </w:p>
        </w:tc>
        <w:tc>
          <w:tcPr>
            <w:tcW w:type="dxa" w:w="2900"/>
          </w:tcPr>
          <w:p>
            <w:r>
              <w:t xml:space="preserve">SNS + Lambda, built now</w:t>
            </w:r>
          </w:p>
        </w:tc>
        <w:tc>
          <w:tcPr>
            <w:tcW w:type="dxa" w:w="2700"/>
          </w:tcPr>
          <w:p>
            <w:r>
              <w:t xml:space="preserve">Single-operator capstone; manual monitoring acceptable substitute for this project's scope.</w:t>
            </w:r>
          </w:p>
        </w:tc>
      </w:tr>
    </w:tbl>
    <w:p>
      <w:pPr>
        <w:pStyle w:val="Heading1"/>
        <w:spacing w:after="140" w:before="280"/>
      </w:pPr>
      <w:r>
        <w:t xml:space="preserve">12. Security Considerations</w:t>
      </w:r>
    </w:p>
    <w:p>
      <w:pPr>
        <w:pStyle w:val="ListParagraph"/>
        <w:numPr>
          <w:ilvl w:val="0"/>
          <w:numId w:val="1"/>
        </w:numPr>
        <w:spacing w:after="100"/>
      </w:pPr>
      <w:r>
        <w:t xml:space="preserve">RDS: SQL Server Express (free-tier, no embedded licensing cost), storage encryption at creation, inbound SG scoped to the developer's IP plus a self-referencing ALL TCP rule required for Spark coordination (never opened to 0.0.0.0/0).</w:t>
      </w:r>
    </w:p>
    <w:p>
      <w:pPr>
        <w:pStyle w:val="ListParagraph"/>
        <w:numPr>
          <w:ilvl w:val="0"/>
          <w:numId w:val="1"/>
        </w:numPr>
        <w:spacing w:after="100"/>
      </w:pPr>
      <w:r>
        <w:t xml:space="preserve">S3: SSE-KMS default encryption, Block Public Access fully enabled, versioning enabled.</w:t>
      </w:r>
    </w:p>
    <w:p>
      <w:pPr>
        <w:pStyle w:val="ListParagraph"/>
        <w:numPr>
          <w:ilvl w:val="0"/>
          <w:numId w:val="1"/>
        </w:numPr>
        <w:spacing w:after="100"/>
      </w:pPr>
      <w:r>
        <w:t xml:space="preserve">Credentials: RDS credentials in Secrets Manager only, never hardcoded or in Glue job parameters.</w:t>
      </w:r>
    </w:p>
    <w:p>
      <w:pPr>
        <w:pStyle w:val="ListParagraph"/>
        <w:numPr>
          <w:ilvl w:val="0"/>
          <w:numId w:val="1"/>
        </w:numPr>
        <w:spacing w:after="100"/>
      </w:pPr>
      <w:r>
        <w:t xml:space="preserve">IAM: least-privilege, per-project, per-pipeline-stage roles; GitHub Actions authenticates via OIDC federation, trust policy scoped to GitHub's immutable subject-claim format (Section 13).</w:t>
      </w:r>
    </w:p>
    <w:p>
      <w:pPr>
        <w:pStyle w:val="ListParagraph"/>
        <w:numPr>
          <w:ilvl w:val="0"/>
          <w:numId w:val="1"/>
        </w:numPr>
        <w:spacing w:after="100"/>
      </w:pPr>
      <w:r>
        <w:t xml:space="preserve">iam:PassRole on the CI/CD role scoped to exactly the three Glue execution role ARNs, not a wildcard.</w:t>
      </w:r>
    </w:p>
    <w:p>
      <w:pPr>
        <w:pStyle w:val="Heading1"/>
        <w:spacing w:after="140" w:before="280"/>
      </w:pPr>
      <w:r>
        <w:t xml:space="preserve">13. CI/CD</w:t>
      </w:r>
    </w:p>
    <w:p>
      <w:pPr>
        <w:spacing w:after="160"/>
      </w:pPr>
      <w:r>
        <w:t xml:space="preserve">GitHub Actions, federated to AWS via OIDC. CI (ci.yml): flake8 lint, black format-check, pytest unit tests, on every push/PR. CD (deploy.yml): on merge to main only — deploys the three validated Glue scripts to S3 and updates each Glue job definition. Fully implemented, tested, and verified working end-to-end as of this revision: a real code fix (the price-anomaly filter) was pushed, passed CI, merged, and automatically deployed to the live Glue job, closing the loop between source control and running infrastructure.</w:t>
      </w:r>
    </w:p>
    <w:p>
      <w:pPr>
        <w:spacing w:after="160"/>
      </w:pPr>
      <w:r>
        <w:t xml:space="preserve">Testing scope, stated honestly: the actual Glue job scripts cannot be directly unit-tested in a standard GitHub Actions runner, since their Glue-specific boilerplate requires the real AWS Glue runtime. The included test demonstrates the testable pattern via a standalone reimplementation of one piece of logic, not a test of the deployed file itself. Correctness of the real scripts is covered by the extensive manual validation documented in Section 8, a deliberate, documented tradeoff.</w:t>
      </w:r>
    </w:p>
    <w:p>
      <w:pPr>
        <w:spacing w:after="160"/>
      </w:pPr>
      <w:r>
        <w:rPr>
          <w:b/>
          <w:bCs/>
        </w:rPr>
        <w:t xml:space="preserve">Deployment troubleshooting encountered</w:t>
      </w:r>
    </w:p>
    <w:p>
      <w:pPr>
        <w:spacing w:after="160"/>
      </w:pPr>
      <w:r>
        <w:t xml:space="preserve">1. GitHub's immutable OIDC subject claim format (rolled out July 15, 2026): repositories created after this date receive tokens with numeric owner/repo IDs embedded in the sub claim, not the classic name-only format. Root cause isolated via CloudTrail's AssumeRoleWithWebIdentity event, the only way to see the token's actual claims verbatim, since AWS's rejection error does not surface them. Fixed by updating the trust policy's sub condition to the immutable-ID format actually issued for this repository.</w:t>
      </w:r>
    </w:p>
    <w:p>
      <w:pPr>
        <w:spacing w:after="160"/>
      </w:pPr>
      <w:r>
        <w:t xml:space="preserve">2. aws glue update-job requires Role explicitly included in the --job-update payload even when only the script location changes — it does not reliably preserve the job's existing IAM role if omitted.</w:t>
      </w:r>
    </w:p>
    <w:p>
      <w:pPr>
        <w:spacing w:after="160"/>
      </w:pPr>
      <w:r>
        <w:t xml:space="preserve">3. The CI/CD role required iam:PassRole scoped to each Glue execution role being associated with a job (Section 7).</w:t>
      </w:r>
    </w:p>
    <w:p>
      <w:pPr>
        <w:spacing w:after="160"/>
      </w:pPr>
      <w:r>
        <w:t xml:space="preserve">4. GitHub Actions hosted-runner capacity issues (job stuck 'waiting for a runner,' or 'not acquired by Runner... after multiple attempts') were encountered on two occasions, confirmed via GitHub's own status history (99.42% uptime over 90 days) as transient platform-side infrastructure noise, not a repo or configuration issue — resolved by retrying rather than debugging further.</w:t>
      </w:r>
    </w:p>
    <w:p>
      <w:pPr>
        <w:spacing w:after="160"/>
      </w:pPr>
      <w:r>
        <w:t xml:space="preserve">5. black --check failed once after a fix was pasted directly into the Glue Studio script editor (bypassing the local formatting step used for other changes) — a reminder that manual out-of-band edits to deployed scripts need to be reconciled with the repo copy and reformatted before the next push, not just functionally correct.</w:t>
      </w:r>
    </w:p>
    <w:p>
      <w:pPr>
        <w:pStyle w:val="Heading1"/>
        <w:spacing w:after="140" w:before="280"/>
      </w:pPr>
      <w:r>
        <w:t xml:space="preserve">14. QuickSight Dashboards</w:t>
      </w:r>
    </w:p>
    <w:p>
      <w:pPr>
        <w:spacing w:after="160"/>
      </w:pPr>
      <w:r>
        <w:t xml:space="preserve">Seven dashboards, one per mart, built as a single multi-sheet Analysis (not separate analyses — QuickSight publishes one Analysis's sheets as one multi-tab Dashboard) and published. Following a deliberate 'leanest version that meets the requirements' scope decision: an initial ~16–17 visual draft was trimmed to ~8 visuals total across all seven dashboards, using combined-dimension charts and native drill-downs in place of separate visuals wherever QuickSight supported it.</w:t>
      </w:r>
    </w:p>
    <w:p>
      <w:pPr>
        <w:pStyle w:val="ListParagraph"/>
        <w:numPr>
          <w:ilvl w:val="0"/>
          <w:numId w:val="1"/>
        </w:numPr>
        <w:spacing w:after="100"/>
      </w:pPr>
      <w:r>
        <w:t xml:space="preserve">Customer Segmentation (customer_segments_rfm) — RFM density heat map (recency × frequency; revealed a genuine behavioral correlation between the two dimensions rather than independence, visible as sparse mid-range cells, confirmed not a scoring-bucket-size artifact) plus a segment-distribution bar chart. is_likely_non_individual filter control applied (practical effect found to be visually negligible at 0.09% of the customer base, as expected for a count-based rather than dollar-based metric).</w:t>
      </w:r>
    </w:p>
    <w:p>
      <w:pPr>
        <w:pStyle w:val="ListParagraph"/>
        <w:numPr>
          <w:ilvl w:val="0"/>
          <w:numId w:val="1"/>
        </w:numPr>
        <w:spacing w:after="100"/>
      </w:pPr>
      <w:r>
        <w:t xml:space="preserve">Churn Risk (churn_risk) — stacked bar (risk_tier × is_overdue), showing tier-level composition of the behavioral overdue signal. Same filter control applied, same negligible-effect finding.</w:t>
      </w:r>
    </w:p>
    <w:p>
      <w:pPr>
        <w:pStyle w:val="ListParagraph"/>
        <w:numPr>
          <w:ilvl w:val="0"/>
          <w:numId w:val="1"/>
        </w:numPr>
        <w:spacing w:after="100"/>
      </w:pPr>
      <w:r>
        <w:t xml:space="preserve">CLV Daily (clv_daily) — median cumulative CLV over time (median chosen over average after the average proved highly distorted by a small, changing-size customer base early in the dataset's history), deliberately split by is_likely_non_individual as a color dimension rather than an exclude-filter, since the flagged accounts' dominance of this specific dollar-magnitude metric is itself the chart's key finding.</w:t>
      </w:r>
    </w:p>
    <w:p>
      <w:pPr>
        <w:pStyle w:val="ListParagraph"/>
        <w:numPr>
          <w:ilvl w:val="0"/>
          <w:numId w:val="1"/>
        </w:numPr>
        <w:spacing w:after="100"/>
      </w:pPr>
      <w:r>
        <w:t xml:space="preserve">Sales Trends (sales_trends) — monthly revenue trend (daily grain hit QuickSight's 400-point display limit across the ~4-year span), reflecting the price-anomaly fix.</w:t>
      </w:r>
    </w:p>
    <w:p>
      <w:pPr>
        <w:pStyle w:val="ListParagraph"/>
        <w:numPr>
          <w:ilvl w:val="0"/>
          <w:numId w:val="1"/>
        </w:numPr>
        <w:spacing w:after="100"/>
      </w:pPr>
      <w:r>
        <w:t xml:space="preserve">Loyalty Impact (loyalty_impact) — combo chart: revenue and order count as bars (primary axis), average order value as an independent-axis line — required because the three measures differ by orders of magnitude and would otherwise render illegibly on a shared axis. is_likely_non_individual filter control applied.</w:t>
      </w:r>
    </w:p>
    <w:p>
      <w:pPr>
        <w:pStyle w:val="ListParagraph"/>
        <w:numPr>
          <w:ilvl w:val="0"/>
          <w:numId w:val="1"/>
        </w:numPr>
        <w:spacing w:after="100"/>
      </w:pPr>
      <w:r>
        <w:t xml:space="preserve">Location Performance (location_performance) — ranked table (sorted by revenue descending), with flagged_revenue_share as a formatted-percentage informational column rather than a filter.</w:t>
      </w:r>
    </w:p>
    <w:p>
      <w:pPr>
        <w:pStyle w:val="ListParagraph"/>
        <w:numPr>
          <w:ilvl w:val="0"/>
          <w:numId w:val="1"/>
        </w:numPr>
        <w:spacing w:after="100"/>
      </w:pPr>
      <w:r>
        <w:t xml:space="preserve">Discount Effectiveness (discount_effectiveness) — price-tier bar chart, correctly ordered via a calculated sort-key field, since QuickSight has no native drag-to-reorder for text categories (a hidden numeric field drives display order of the visible label field — a standard, documented QuickSight workaround).</w:t>
      </w:r>
    </w:p>
    <w:p>
      <w:pPr>
        <w:spacing w:after="160"/>
      </w:pPr>
      <w:r>
        <w:t xml:space="preserve">Boolean fields sourced from the pipeline (is_overdue, is_loyalty, is_likely_non_individual) consistently displayed as raw 0/1 in QuickSight rather than True/False, since the underlying Parquet/Athena representation is numeric, not native boolean — resolved via calculated fields (e.g. ifelse({is_overdue}=1,'Overdue','Not Overdue')) applied per-chart, a reusable technique across this build.</w:t>
      </w:r>
    </w:p>
    <w:p>
      <w:pPr>
        <w:pStyle w:val="Heading1"/>
        <w:spacing w:after="140" w:before="280"/>
      </w:pPr>
      <w:r>
        <w:t xml:space="preserve">15. Open Items &amp; Future Enhancements</w:t>
      </w:r>
    </w:p>
    <w:p>
      <w:pPr>
        <w:spacing w:after="160"/>
      </w:pPr>
      <w:r>
        <w:t xml:space="preserve">The pipeline, orchestration, IAM, CI/CD, and all seven dashboards are complete and verified as of this revision. Remaining items are optional enhancements, not blockers:</w:t>
      </w:r>
    </w:p>
    <w:p>
      <w:pPr>
        <w:pStyle w:val="ListParagraph"/>
        <w:numPr>
          <w:ilvl w:val="0"/>
          <w:numId w:val="1"/>
        </w:numPr>
        <w:spacing w:after="100"/>
      </w:pPr>
      <w:r>
        <w:t xml:space="preserve">Raise accumulated open SME questions: (1) whether the 19 is_likely_non_individual accounts represent known corporate/catering accounts or a data quality issue to exclude; (2) whether the ~53% revenue concentration in a single restaurant location reflects the real business or a dataset artifact; (3) the discount_effectiveness scope substitution; (4) the ~5x order-value difference between loyalty and non-loyalty orders; (5) the churn_risk 30/90-day tier thresholds, currently a business assumption rather than derived from real stakeholder input.</w:t>
      </w:r>
    </w:p>
    <w:p>
      <w:pPr>
        <w:pStyle w:val="ListParagraph"/>
        <w:numPr>
          <w:ilvl w:val="0"/>
          <w:numId w:val="1"/>
        </w:numPr>
        <w:spacing w:after="100"/>
      </w:pPr>
      <w:r>
        <w:t xml:space="preserve">Retrofit a queryable flag for the item-price anomaly fix (Section 8.2), consistent with location_performance's informational-column pattern, if live in-dashboard filtering of anomaly-affected periods is needed.</w:t>
      </w:r>
    </w:p>
    <w:p>
      <w:pPr>
        <w:pStyle w:val="ListParagraph"/>
        <w:numPr>
          <w:ilvl w:val="0"/>
          <w:numId w:val="1"/>
        </w:numPr>
        <w:spacing w:after="100"/>
      </w:pPr>
      <w:r>
        <w:t xml:space="preserve">Build the SNS + Lambda failure-notification branch on the Glue Workflow (Section 4) — designed and scoped, deliberately deferred for this capstone; a genuine production requirement for a real deployment.</w:t>
      </w:r>
    </w:p>
    <w:p>
      <w:pPr>
        <w:pStyle w:val="ListParagraph"/>
        <w:numPr>
          <w:ilvl w:val="0"/>
          <w:numId w:val="1"/>
        </w:numPr>
        <w:spacing w:after="100"/>
      </w:pPr>
      <w:r>
        <w:t xml:space="preserve">Consider refactoring the three Glue scripts to separate pure transformation functions from Glue-specific boilerplate, enabling genuine unit test coverage of the actual deployed logic (Section 13).</w:t>
      </w:r>
    </w:p>
    <w:p>
      <w:pPr>
        <w:pStyle w:val="ListParagraph"/>
        <w:numPr>
          <w:ilvl w:val="0"/>
          <w:numId w:val="1"/>
        </w:numPr>
        <w:spacing w:after="100"/>
      </w:pPr>
      <w:r>
        <w:t xml:space="preserve">Revisit RDS instance sizing (currently db.t3.small) and whether it needs to remain elevated for ongoing operation.</w:t>
      </w:r>
    </w:p>
    <w:p>
      <w:pPr>
        <w:pStyle w:val="ListParagraph"/>
        <w:numPr>
          <w:ilvl w:val="0"/>
          <w:numId w:val="1"/>
        </w:numPr>
        <w:spacing w:after="100"/>
      </w:pPr>
      <w:r>
        <w:t xml:space="preserve">Clean up the Spark-history-log warning caused by Glue's default aws-glue-assets-&lt;account&gt;-&lt;region&gt; bucket, which was never created in this account by design.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2026-08-07T14:25:44.352Z</dcterms:created>
  <dcterms:modified xsi:type="dcterms:W3CDTF">2026-08-07T14:25:44.367Z</dcterms:modified>
</cp:coreProperties>
</file>

<file path=docProps/custom.xml><?xml version="1.0" encoding="utf-8"?>
<Properties xmlns="http://schemas.openxmlformats.org/officeDocument/2006/custom-properties" xmlns:vt="http://schemas.openxmlformats.org/officeDocument/2006/docPropsVTypes"/>
</file>