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13. A short list of items remains genuinely open and is tracked in Section 14.</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13).</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13).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13).</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13).</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13).</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13).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12)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13), matching precedent from the last two capstones.</w:t>
      </w:r>
    </w:p>
    <w:p>
      <w:pPr>
        <w:spacing w:after="120"/>
      </w:pPr>
      <w:r>
        <w:rPr>
          <w:b/>
          <w:bCs/>
        </w:rPr>
        <w:t xml:space="preserve">Notifications — Slack incoming webhook: </w:t>
      </w:r>
      <w:r>
        <w:t xml:space="preserve">SME confirmed either Slack or email is acceptable (Section 13).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13).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15),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13).</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SME confirmed this bucket holds Day-1 (one-day-back) data, and that once the webhook is created, lookups against it are keyed by lead_id (Section 13).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using file_index.json to confirm availability before pulling; retries on a short backoff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Bearer token (Authorization header), token in Secrets Manager. Corrected from an earlier “Basic Auth” assumption in this doc after checking Wistia's current API docs directly — Bearer is their officially supported method; HTTP Basic is only listed as a fallback.</w:t>
      </w:r>
    </w:p>
    <w:p>
      <w:pPr>
        <w:pStyle w:val="ListParagraph"/>
        <w:numPr>
          <w:ilvl w:val="0"/>
          <w:numId w:val="1"/>
        </w:numPr>
        <w:spacing w:after="80"/>
      </w:pPr>
      <w:r>
        <w:t xml:space="preserve">Pulls media metadata, engagement metrics, and visitor-level data for the two given media IDs, paginating through all result pages.</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14, Item 3).</w:t>
      </w:r>
    </w:p>
    <w:p>
      <w:pPr>
        <w:pStyle w:val="Heading1"/>
        <w:spacing w:after="150" w:before="300"/>
      </w:pPr>
      <w:r>
        <w:t xml:space="preserve">11.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13</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12.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13)</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13).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13);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13);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13. Resolved via SME Response (August 10, 2026)</w:t>
      </w:r>
    </w:p>
    <w:p>
      <w:pPr>
        <w:spacing w:after="120"/>
      </w:pPr>
      <w:r>
        <w:rPr>
          <w:i/>
          <w:iCs/>
        </w:rPr>
        <w:t xml:space="preserve">Questions were sent to Avirup, Azmat, Ninad, and Kareem; a full response was received August 10, 2026 after 24+ hours and two follow-ups.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12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bl>
    <w:p>
      <w:pPr>
        <w:pStyle w:val="Heading1"/>
        <w:spacing w:after="150" w:before="300"/>
      </w:pPr>
      <w:r>
        <w:t xml:space="preserve">14.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Heading1"/>
        <w:spacing w:after="150" w:before="300"/>
      </w:pPr>
      <w:r>
        <w:t xml:space="preserve">15. Next Steps</w:t>
      </w:r>
    </w:p>
    <w:p>
      <w:pPr>
        <w:pStyle w:val="ListParagraph"/>
        <w:numPr>
          <w:ilvl w:val="0"/>
          <w:numId w:val="1"/>
        </w:numPr>
        <w:spacing w:after="80"/>
      </w:pPr>
      <w:r>
        <w:t xml:space="preserve">Provision the two API Gateway endpoints (CRM, Calendly) and the CRM webhook + consumer Lambda functions.</w:t>
      </w:r>
    </w:p>
    <w:p>
      <w:pPr>
        <w:pStyle w:val="ListParagraph"/>
        <w:numPr>
          <w:ilvl w:val="0"/>
          <w:numId w:val="1"/>
        </w:numPr>
        <w:spacing w:after="80"/>
      </w:pPr>
      <w:r>
        <w:t xml:space="preserve">Foundation infrastructure deployed (S3 bucket, IAM roles, SQS delay queue + DLQ, placeholder secrets) via infrastructure/foundation.yaml — verified against the stack's Outputs and each console on August 10, 2026.</w:t>
      </w:r>
    </w:p>
    <w:p>
      <w:pPr>
        <w:pStyle w:val="ListParagraph"/>
        <w:numPr>
          <w:ilvl w:val="0"/>
          <w:numId w:val="1"/>
        </w:numPr>
        <w:spacing w:after="80"/>
      </w:pPr>
      <w:r>
        <w:t xml:space="preserve">Coordinate with Avirup on webhook creation for Close and Calendly once endpoint URLs are ready.</w:t>
      </w:r>
    </w:p>
    <w:p>
      <w:pPr>
        <w:pStyle w:val="ListParagraph"/>
        <w:numPr>
          <w:ilvl w:val="0"/>
          <w:numId w:val="1"/>
        </w:numPr>
        <w:spacing w:after="80"/>
      </w:pPr>
      <w:r>
        <w:t xml:space="preserve">Build and test the CRM SQS-based flow end-to-end against a small subset of synthetic lead events before enabling the live Close webhook — including a deliberate DLQ/failure test to validate the fault-tolerance mechanism.</w:t>
      </w:r>
    </w:p>
    <w:p>
      <w:pPr>
        <w:pStyle w:val="ListParagraph"/>
        <w:numPr>
          <w:ilvl w:val="0"/>
          <w:numId w:val="1"/>
        </w:numPr>
        <w:spacing w:after="80"/>
      </w:pPr>
      <w:r>
        <w:t xml:space="preserve">Stand up the Wistia and Calendly-spend scheduled pulls; validate incremental watermarking.</w:t>
      </w:r>
    </w:p>
    <w:p>
      <w:pPr>
        <w:pStyle w:val="ListParagraph"/>
        <w:numPr>
          <w:ilvl w:val="0"/>
          <w:numId w:val="1"/>
        </w:numPr>
        <w:spacing w:after="80"/>
      </w:pPr>
      <w:r>
        <w:t xml:space="preserve">Begin the 7-day operational window only after the ingestion layer is validated for all three sources.</w:t>
      </w:r>
    </w:p>
    <w:p>
      <w:pPr>
        <w:pStyle w:val="ListParagraph"/>
        <w:numPr>
          <w:ilvl w:val="0"/>
          <w:numId w:val="1"/>
        </w:numPr>
        <w:spacing w:after="80"/>
      </w:pPr>
      <w:r>
        <w:t xml:space="preserve">Raise the five remaining open items (Section 14) with the SMEs as a follow-up, separate from implementation start.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2026-08-11T18:30:03.390Z</dcterms:created>
  <dcterms:modified xsi:type="dcterms:W3CDTF">2026-08-11T18:30:03.405Z</dcterms:modified>
</cp:coreProperties>
</file>

<file path=docProps/custom.xml><?xml version="1.0" encoding="utf-8"?>
<Properties xmlns="http://schemas.openxmlformats.org/officeDocument/2006/custom-properties" xmlns:vt="http://schemas.openxmlformats.org/officeDocument/2006/docPropsVTypes"/>
</file>