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9567" w14:textId="12499861" w:rsidR="00306BCA" w:rsidRDefault="00000000">
      <w:pPr>
        <w:pStyle w:val="Title"/>
        <w:spacing w:after="100"/>
      </w:pPr>
      <w:r>
        <w:t>InsightFlow Project</w:t>
      </w:r>
      <w:r w:rsidR="00142368">
        <w:t xml:space="preserve"> Design</w:t>
      </w:r>
    </w:p>
    <w:p w14:paraId="4E566E3B" w14:textId="77777777" w:rsidR="00306BCA" w:rsidRDefault="00000000">
      <w:pPr>
        <w:pStyle w:val="Heading1"/>
        <w:spacing w:after="100"/>
      </w:pPr>
      <w:r>
        <w:t>Solution Design Document</w:t>
      </w:r>
    </w:p>
    <w:p w14:paraId="64CF9C42" w14:textId="77777777" w:rsidR="00306BCA" w:rsidRDefault="00000000">
      <w:pPr>
        <w:spacing w:after="120"/>
      </w:pPr>
      <w:r>
        <w:rPr>
          <w:i/>
          <w:iCs/>
        </w:rPr>
        <w:t xml:space="preserve">Prepared for SME review (Ninad, Azmat, Kareem, </w:t>
      </w:r>
      <w:proofErr w:type="gramStart"/>
      <w:r>
        <w:rPr>
          <w:i/>
          <w:iCs/>
        </w:rPr>
        <w:t>Avirup)  •</w:t>
      </w:r>
      <w:proofErr w:type="gramEnd"/>
      <w:r>
        <w:rPr>
          <w:i/>
          <w:iCs/>
        </w:rPr>
        <w:t xml:space="preserve">  Status: Draft, proceeding on documented assumptions pending SME </w:t>
      </w:r>
      <w:proofErr w:type="gramStart"/>
      <w:r>
        <w:rPr>
          <w:i/>
          <w:iCs/>
        </w:rPr>
        <w:t>confirmation  •</w:t>
      </w:r>
      <w:proofErr w:type="gramEnd"/>
      <w:r>
        <w:rPr>
          <w:i/>
          <w:iCs/>
        </w:rPr>
        <w:t xml:space="preserve">  Stack: AWS-native</w:t>
      </w:r>
    </w:p>
    <w:p w14:paraId="0BAA6D1E" w14:textId="77777777" w:rsidR="00306BCA" w:rsidRDefault="00306BCA">
      <w:pPr>
        <w:pBdr>
          <w:bottom w:val="single" w:sz="6" w:space="1" w:color="auto"/>
        </w:pBdr>
        <w:spacing w:after="200"/>
      </w:pPr>
    </w:p>
    <w:p w14:paraId="2428C2E9" w14:textId="77777777" w:rsidR="00306BCA" w:rsidRDefault="00000000">
      <w:pPr>
        <w:pStyle w:val="Heading1"/>
        <w:spacing w:before="300" w:after="150"/>
      </w:pPr>
      <w:r>
        <w:t>1. Project Overview</w:t>
      </w:r>
    </w:p>
    <w:p w14:paraId="4ACA2229" w14:textId="77777777" w:rsidR="00306BCA" w:rsidRDefault="00000000">
      <w:pPr>
        <w:spacing w:after="120"/>
      </w:pPr>
      <w:r>
        <w:t>This project integrates three siloed revenue-engagement systems — Wistia (video engagement analytics), Calendly (meeting scheduling), and Close (CRM lead data) — into a single AWS-native analytics platform. The goal is a unified source of truth that supports both reporting (marketing spend efficiency, conversion rates, sales response time) and operational automation (real-time new-lead notifications to the sales team).</w:t>
      </w:r>
    </w:p>
    <w:p w14:paraId="478D5D9B" w14:textId="77777777" w:rsidR="00306BCA" w:rsidRDefault="00000000">
      <w:pPr>
        <w:spacing w:after="120"/>
      </w:pPr>
      <w:r>
        <w:t>Per project requirements, dbt is prohibited for transformation, Snowflake is prohibited as a platform, and the pipeline must run operationally (ingesting and processing) for 7 consecutive days before submission, demonstrating reliable ingestion, idempotent processing, and fault tolerance / recovery handling.</w:t>
      </w:r>
    </w:p>
    <w:p w14:paraId="154CCD91" w14:textId="77777777" w:rsidR="00306BCA" w:rsidRDefault="00000000">
      <w:pPr>
        <w:spacing w:after="120"/>
      </w:pPr>
      <w:r>
        <w:rPr>
          <w:b/>
          <w:bCs/>
        </w:rPr>
        <w:t xml:space="preserve">Approval gate: </w:t>
      </w:r>
      <w:r>
        <w:t>the project brief requires the architecture and data model to be presented for SME approval before implementation proceeds. This document, together with the accompanying workflow diagram, is that submission. The initial draft proceeded on documented working assumptions where SME answers were not yet available; SME responses received on August 10, 2026 are incorporated throughout and summarized in Section 13. A short list of items remains genuinely open and is tracked in Section 14.</w:t>
      </w:r>
    </w:p>
    <w:p w14:paraId="3E76E760" w14:textId="77777777" w:rsidR="00306BCA" w:rsidRDefault="00000000">
      <w:pPr>
        <w:pStyle w:val="Heading1"/>
        <w:spacing w:before="300" w:after="150"/>
      </w:pPr>
      <w:r>
        <w:t>2. Data Sources &amp; Scope</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600"/>
        <w:gridCol w:w="2900"/>
      </w:tblGrid>
      <w:tr w:rsidR="00306BCA" w14:paraId="5FE560D4" w14:textId="77777777">
        <w:tblPrEx>
          <w:tblCellMar>
            <w:top w:w="0" w:type="dxa"/>
            <w:bottom w:w="0" w:type="dxa"/>
          </w:tblCellMar>
        </w:tblPrEx>
        <w:tc>
          <w:tcPr>
            <w:tcW w:w="2400" w:type="dxa"/>
            <w:shd w:val="clear" w:color="auto" w:fill="D9D9D9"/>
          </w:tcPr>
          <w:p w14:paraId="72973473" w14:textId="77777777" w:rsidR="00306BCA" w:rsidRDefault="00000000">
            <w:r>
              <w:rPr>
                <w:b/>
                <w:bCs/>
              </w:rPr>
              <w:t>Source</w:t>
            </w:r>
          </w:p>
        </w:tc>
        <w:tc>
          <w:tcPr>
            <w:tcW w:w="3600" w:type="dxa"/>
            <w:shd w:val="clear" w:color="auto" w:fill="D9D9D9"/>
          </w:tcPr>
          <w:p w14:paraId="2DC4132B" w14:textId="77777777" w:rsidR="00306BCA" w:rsidRDefault="00000000">
            <w:r>
              <w:rPr>
                <w:b/>
                <w:bCs/>
              </w:rPr>
              <w:t>Mechanism</w:t>
            </w:r>
          </w:p>
        </w:tc>
        <w:tc>
          <w:tcPr>
            <w:tcW w:w="1600" w:type="dxa"/>
            <w:shd w:val="clear" w:color="auto" w:fill="D9D9D9"/>
          </w:tcPr>
          <w:p w14:paraId="562027F8" w14:textId="77777777" w:rsidR="00306BCA" w:rsidRDefault="00000000">
            <w:r>
              <w:rPr>
                <w:b/>
                <w:bCs/>
              </w:rPr>
              <w:t>Format</w:t>
            </w:r>
          </w:p>
        </w:tc>
        <w:tc>
          <w:tcPr>
            <w:tcW w:w="2900" w:type="dxa"/>
            <w:shd w:val="clear" w:color="auto" w:fill="D9D9D9"/>
          </w:tcPr>
          <w:p w14:paraId="2AAA3CA5" w14:textId="77777777" w:rsidR="00306BCA" w:rsidRDefault="00000000">
            <w:r>
              <w:rPr>
                <w:b/>
                <w:bCs/>
              </w:rPr>
              <w:t>Cadence</w:t>
            </w:r>
          </w:p>
        </w:tc>
      </w:tr>
      <w:tr w:rsidR="00306BCA" w14:paraId="5CDA93BE" w14:textId="77777777">
        <w:tblPrEx>
          <w:tblCellMar>
            <w:top w:w="0" w:type="dxa"/>
            <w:bottom w:w="0" w:type="dxa"/>
          </w:tblCellMar>
        </w:tblPrEx>
        <w:tc>
          <w:tcPr>
            <w:tcW w:w="2400" w:type="dxa"/>
          </w:tcPr>
          <w:p w14:paraId="7DC08B84" w14:textId="77777777" w:rsidR="00306BCA" w:rsidRDefault="00000000">
            <w:r>
              <w:t>Close (CRM)</w:t>
            </w:r>
          </w:p>
        </w:tc>
        <w:tc>
          <w:tcPr>
            <w:tcW w:w="3600" w:type="dxa"/>
          </w:tcPr>
          <w:p w14:paraId="5EB5335F" w14:textId="77777777" w:rsidR="00306BCA" w:rsidRDefault="00000000">
            <w:r>
              <w:t>Webhook subscription (lead created/updated events)</w:t>
            </w:r>
          </w:p>
        </w:tc>
        <w:tc>
          <w:tcPr>
            <w:tcW w:w="1600" w:type="dxa"/>
          </w:tcPr>
          <w:p w14:paraId="6880BD6B" w14:textId="77777777" w:rsidR="00306BCA" w:rsidRDefault="00000000">
            <w:r>
              <w:t>JSON</w:t>
            </w:r>
          </w:p>
        </w:tc>
        <w:tc>
          <w:tcPr>
            <w:tcW w:w="2900" w:type="dxa"/>
          </w:tcPr>
          <w:p w14:paraId="2DEFA004" w14:textId="77777777" w:rsidR="00306BCA" w:rsidRDefault="00000000">
            <w:r>
              <w:t>Real-time (event-driven)</w:t>
            </w:r>
          </w:p>
        </w:tc>
      </w:tr>
      <w:tr w:rsidR="00306BCA" w14:paraId="3240F6E1" w14:textId="77777777">
        <w:tblPrEx>
          <w:tblCellMar>
            <w:top w:w="0" w:type="dxa"/>
            <w:bottom w:w="0" w:type="dxa"/>
          </w:tblCellMar>
        </w:tblPrEx>
        <w:tc>
          <w:tcPr>
            <w:tcW w:w="2400" w:type="dxa"/>
          </w:tcPr>
          <w:p w14:paraId="4862B524" w14:textId="77777777" w:rsidR="00306BCA" w:rsidRDefault="00000000">
            <w:r>
              <w:t>Calendly — bookings</w:t>
            </w:r>
          </w:p>
        </w:tc>
        <w:tc>
          <w:tcPr>
            <w:tcW w:w="3600" w:type="dxa"/>
          </w:tcPr>
          <w:p w14:paraId="0DCC0D1C" w14:textId="77777777" w:rsidR="00306BCA" w:rsidRDefault="00000000">
            <w:r>
              <w:t>Webhook subscription (</w:t>
            </w:r>
            <w:proofErr w:type="gramStart"/>
            <w:r>
              <w:t>invitee.created</w:t>
            </w:r>
            <w:proofErr w:type="gramEnd"/>
            <w:r>
              <w:t>)</w:t>
            </w:r>
          </w:p>
        </w:tc>
        <w:tc>
          <w:tcPr>
            <w:tcW w:w="1600" w:type="dxa"/>
          </w:tcPr>
          <w:p w14:paraId="681F9548" w14:textId="77777777" w:rsidR="00306BCA" w:rsidRDefault="00000000">
            <w:r>
              <w:t>JSON</w:t>
            </w:r>
          </w:p>
        </w:tc>
        <w:tc>
          <w:tcPr>
            <w:tcW w:w="2900" w:type="dxa"/>
          </w:tcPr>
          <w:p w14:paraId="1EAEC825" w14:textId="77777777" w:rsidR="00306BCA" w:rsidRDefault="00000000">
            <w:r>
              <w:t>Real-time (event-driven)</w:t>
            </w:r>
          </w:p>
        </w:tc>
      </w:tr>
      <w:tr w:rsidR="00306BCA" w14:paraId="6A8DC7D9" w14:textId="77777777">
        <w:tblPrEx>
          <w:tblCellMar>
            <w:top w:w="0" w:type="dxa"/>
            <w:bottom w:w="0" w:type="dxa"/>
          </w:tblCellMar>
        </w:tblPrEx>
        <w:tc>
          <w:tcPr>
            <w:tcW w:w="2400" w:type="dxa"/>
          </w:tcPr>
          <w:p w14:paraId="014BDB80" w14:textId="77777777" w:rsidR="00306BCA" w:rsidRDefault="00000000">
            <w:r>
              <w:t>Calendly — ad spend</w:t>
            </w:r>
          </w:p>
        </w:tc>
        <w:tc>
          <w:tcPr>
            <w:tcW w:w="3600" w:type="dxa"/>
          </w:tcPr>
          <w:p w14:paraId="56307519" w14:textId="77777777" w:rsidR="00306BCA" w:rsidRDefault="00000000">
            <w:r>
              <w:t>Daily public S3 file (Day-1 spend, published ~06:00 EST)</w:t>
            </w:r>
          </w:p>
        </w:tc>
        <w:tc>
          <w:tcPr>
            <w:tcW w:w="1600" w:type="dxa"/>
          </w:tcPr>
          <w:p w14:paraId="1C091162" w14:textId="77777777" w:rsidR="00306BCA" w:rsidRDefault="00000000">
            <w:r>
              <w:t>JSON</w:t>
            </w:r>
          </w:p>
        </w:tc>
        <w:tc>
          <w:tcPr>
            <w:tcW w:w="2900" w:type="dxa"/>
          </w:tcPr>
          <w:p w14:paraId="22EC9E9E" w14:textId="77777777" w:rsidR="00306BCA" w:rsidRDefault="00000000">
            <w:r>
              <w:t>Batch, daily</w:t>
            </w:r>
          </w:p>
        </w:tc>
      </w:tr>
      <w:tr w:rsidR="00306BCA" w14:paraId="5A1AF829" w14:textId="77777777">
        <w:tblPrEx>
          <w:tblCellMar>
            <w:top w:w="0" w:type="dxa"/>
            <w:bottom w:w="0" w:type="dxa"/>
          </w:tblCellMar>
        </w:tblPrEx>
        <w:tc>
          <w:tcPr>
            <w:tcW w:w="2400" w:type="dxa"/>
          </w:tcPr>
          <w:p w14:paraId="5C38AF5D" w14:textId="77777777" w:rsidR="00306BCA" w:rsidRDefault="00000000">
            <w:r>
              <w:t>Wistia</w:t>
            </w:r>
          </w:p>
        </w:tc>
        <w:tc>
          <w:tcPr>
            <w:tcW w:w="3600" w:type="dxa"/>
          </w:tcPr>
          <w:p w14:paraId="05AC7355" w14:textId="77777777" w:rsidR="00306BCA" w:rsidRDefault="00000000">
            <w:r>
              <w:t>Stats API (media + visitor-level), token auth</w:t>
            </w:r>
          </w:p>
        </w:tc>
        <w:tc>
          <w:tcPr>
            <w:tcW w:w="1600" w:type="dxa"/>
          </w:tcPr>
          <w:p w14:paraId="43D1309C" w14:textId="77777777" w:rsidR="00306BCA" w:rsidRDefault="00000000">
            <w:r>
              <w:t>JSON</w:t>
            </w:r>
          </w:p>
        </w:tc>
        <w:tc>
          <w:tcPr>
            <w:tcW w:w="2900" w:type="dxa"/>
          </w:tcPr>
          <w:p w14:paraId="4B42BB5F" w14:textId="77777777" w:rsidR="00306BCA" w:rsidRDefault="00000000">
            <w:r>
              <w:t>Batch, scheduled, incremental on created_at/updated_at</w:t>
            </w:r>
          </w:p>
        </w:tc>
      </w:tr>
    </w:tbl>
    <w:p w14:paraId="57AF3621" w14:textId="77777777" w:rsidR="00306BCA" w:rsidRDefault="00306BCA">
      <w:pPr>
        <w:spacing w:after="150"/>
      </w:pPr>
    </w:p>
    <w:p w14:paraId="77BC65C7" w14:textId="77777777" w:rsidR="00306BCA" w:rsidRDefault="00000000">
      <w:pPr>
        <w:spacing w:after="120"/>
      </w:pPr>
      <w:r>
        <w:t>Note: Calendly is a hybrid source — booking events arrive real-time via webhook, but the cost data needed to compute Cost-Per-Booking only exists as a once-daily batch file. SME response confirmed this reading directly: Calendly webhook ingestion is real-time, event-driven, while downstream transformation involving the daily spend data can be batch (Section 13).</w:t>
      </w:r>
    </w:p>
    <w:p w14:paraId="119982AD" w14:textId="77777777" w:rsidR="00306BCA" w:rsidRDefault="00000000">
      <w:pPr>
        <w:pStyle w:val="Heading1"/>
        <w:spacing w:before="300" w:after="150"/>
      </w:pPr>
      <w:r>
        <w:t>3. Architecture Overview</w:t>
      </w:r>
    </w:p>
    <w:p w14:paraId="4936D23B" w14:textId="77777777" w:rsidR="00306BCA" w:rsidRDefault="00000000">
      <w:pPr>
        <w:spacing w:after="120"/>
      </w:pPr>
      <w:r>
        <w:t>Serverless, event-driven medallion architecture on S3. SME confirmed either AWS or Azure is acceptable for this project; AWS is retained throughout this document, consistent with the existing stack and prior capstones (Section 13). No persistent database or always-on compute; storage and compute are decoupled the same way as the Global Partners and Healthcare Metrics capstones.</w:t>
      </w:r>
    </w:p>
    <w:p w14:paraId="572C01CA" w14:textId="77777777" w:rsidR="00306BCA" w:rsidRDefault="00000000">
      <w:pPr>
        <w:spacing w:after="120"/>
      </w:pPr>
      <w:r>
        <w:t>Ingestion is split by pattern: webhook sources (Close, Calendly bookings) land through API Gateway + Lambda into S3 raw/ the moment an event arrives. Scheduled sources (Wistia, Calendly spend file) are pulled by EventBridge-triggered Lambdas on a cron schedule — this scheduled pattern is unaffected by SME guidance on the CRM flow (see below) since it was never part of the delay-mechanism question. The CRM per-lead flow uses an SQS delay queue rather than an orchestrator: SME direction was explicit that the SQS delay-queue pattern named in the brief should be used, and that Step Functions or EventBridge Scheduler are unnecessary for this flow absent a specific reason (Section 13).</w:t>
      </w:r>
    </w:p>
    <w:p w14:paraId="4E4D92DA" w14:textId="77777777" w:rsidR="00306BCA" w:rsidRDefault="00000000">
      <w:pPr>
        <w:spacing w:after="120"/>
      </w:pPr>
      <w:r>
        <w:lastRenderedPageBreak/>
        <w:t>Glue Python Shell (or Glue ETL/PySpark if volume across all three sources exceeds the single-node comfort range — to be confirmed once real data volumes are known) transforms raw JSON into cleaned, typed Parquet in processed/. Athena CTAS aggregates processed/ into metric-ready tables in marts/. QuickSight reads marts/ via Athena to render the cross-source dashboards — SME confirmed QuickSight is acceptable and Streamlit hosting is not mandatory (Section 13).</w:t>
      </w:r>
    </w:p>
    <w:p w14:paraId="11078153" w14:textId="77777777" w:rsidR="00306BCA" w:rsidRDefault="00000000">
      <w:pPr>
        <w:pStyle w:val="Heading1"/>
        <w:spacing w:before="300" w:after="150"/>
      </w:pPr>
      <w:r>
        <w:t>4. Component Rationale</w:t>
      </w:r>
    </w:p>
    <w:p w14:paraId="67F9159B" w14:textId="77777777" w:rsidR="00306BCA" w:rsidRDefault="00000000">
      <w:pPr>
        <w:spacing w:after="120"/>
      </w:pPr>
      <w:r>
        <w:rPr>
          <w:b/>
          <w:bCs/>
        </w:rPr>
        <w:t xml:space="preserve">Ingestion — API Gateway + Lambda (CRM, Calendly webhooks): </w:t>
      </w:r>
      <w:r>
        <w:t>Both Close and Calendly deliver events via outbound webhook POST. API Gateway provides the public HTTPS endpoint; Lambda validates the signature (Close-Sig-Hash / Calendly signing secret) and writes the raw event to S3. This is the only practical pattern for receiving third-party webhooks on AWS without standing up always-on compute. SME confirmed Avirup will assist directly with webhook creation on the Close/Calendly side once the endpoint URLs are ready (Section 13).</w:t>
      </w:r>
    </w:p>
    <w:p w14:paraId="59BECDF3" w14:textId="77777777" w:rsidR="00306BCA" w:rsidRDefault="00000000">
      <w:pPr>
        <w:spacing w:after="120"/>
      </w:pPr>
      <w:r>
        <w:rPr>
          <w:b/>
          <w:bCs/>
        </w:rPr>
        <w:t xml:space="preserve">Delay mechanism — SQS delay queue (CRM lead flow): </w:t>
      </w:r>
      <w:r>
        <w:t>The CRM flow needs a 10-minute pause between landing the webhook event and looking up the lead owner, because owner assignment happens asynchronously in Close after lead creation — SME confirmed this reading directly (Section 13). Per SME direction, this is implemented as the SQS delay-queue pattern named in the brief, not Step Functions or EventBridge Scheduler: the webhook Lambda sends a message (lead_id + event metadata) to a standard SQS queue with DelaySeconds=600; a second Lambda, wired to the queue via an event-source mapping, only receives the message once the 10-minute delay has elapsed, and performs the lookup, merge, and notify steps in sequence within that single invocation. Because SQS standard queues are at-least-once delivery, idempotency is handled in code rather than by the platform: the consumer Lambda checks for an existing processed/crm_leads_enriched/ record for that lead_id before writing, so a redelivered message is a no-op rather than a duplicate. The queue's redrive policy routes messages to a dedicated dead-letter queue after 3 failed processing attempts, with a CloudWatch alarm on DLQ depth — this is the mechanism used to demonstrate the brief's fault-tolerance/recovery requirement, in place of Step Functions' execution history. A fuller Step Functions-based design was proposed and considered (Section 12) but not implemented, per direct SME guidance that it isn't needed here absent a specific reason.</w:t>
      </w:r>
    </w:p>
    <w:p w14:paraId="07EFB9AC" w14:textId="77777777" w:rsidR="00306BCA" w:rsidRDefault="00000000">
      <w:pPr>
        <w:spacing w:after="120"/>
      </w:pPr>
      <w:r>
        <w:rPr>
          <w:b/>
          <w:bCs/>
        </w:rPr>
        <w:t xml:space="preserve">State tracking — SSM Parameter Store: </w:t>
      </w:r>
      <w:r>
        <w:t>Wistia incremental ingestion needs a last-synced watermark (created_at/updated_at). A single SSM parameter is sufficient for this low-file-count, single-writer job, consistent with the Healthcare Metrics precedent.</w:t>
      </w:r>
    </w:p>
    <w:p w14:paraId="12B2BF86" w14:textId="77777777" w:rsidR="00306BCA" w:rsidRDefault="00000000">
      <w:pPr>
        <w:spacing w:after="120"/>
      </w:pPr>
      <w:r>
        <w:rPr>
          <w:b/>
          <w:bCs/>
        </w:rPr>
        <w:t xml:space="preserve">Storage — Amazon S3, medallion-layered: </w:t>
      </w:r>
      <w:r>
        <w:t>raw/, processed/, and marts/ isolate untouched source events from cleaned/typed data from analysis-ready aggregates, so any stage can be re-run independently — important here given the explicit idempotent-processing requirement.</w:t>
      </w:r>
    </w:p>
    <w:p w14:paraId="6E6A2875" w14:textId="77777777" w:rsidR="00306BCA" w:rsidRDefault="00000000">
      <w:pPr>
        <w:spacing w:after="120"/>
      </w:pPr>
      <w:r>
        <w:rPr>
          <w:b/>
          <w:bCs/>
        </w:rPr>
        <w:t xml:space="preserve">Cataloging — AWS Glue Data Catalog + Crawlers: </w:t>
      </w:r>
      <w:r>
        <w:t>Registers schema across all three sources' raw/processed/marts prefixes so Athena and QuickSight can query without a managed database.</w:t>
      </w:r>
    </w:p>
    <w:p w14:paraId="799EF3DB" w14:textId="77777777" w:rsidR="00306BCA" w:rsidRDefault="00000000">
      <w:pPr>
        <w:spacing w:after="120"/>
      </w:pPr>
      <w:r>
        <w:rPr>
          <w:b/>
          <w:bCs/>
        </w:rPr>
        <w:t xml:space="preserve">Transform — Glue Python Shell (pandas), Spark if volume requires: </w:t>
      </w:r>
      <w:r>
        <w:t>dbt is explicitly prohibited by the brief, so transformation logic lives in Glue jobs rather than SQL-first modeling. Row-level cleaning (field standardization, footnote/null handling analogues, JSON flattening) happens here; set-based aggregation happens in Athena CTAS, mirroring the split used on Healthcare Metrics.</w:t>
      </w:r>
    </w:p>
    <w:p w14:paraId="61FE135D" w14:textId="77777777" w:rsidR="00306BCA" w:rsidRDefault="00000000">
      <w:pPr>
        <w:spacing w:after="120"/>
      </w:pPr>
      <w:r>
        <w:rPr>
          <w:b/>
          <w:bCs/>
        </w:rPr>
        <w:t xml:space="preserve">Aggregation — Amazon Athena (CTAS): </w:t>
      </w:r>
      <w:r>
        <w:t>The Calendly-specific metrics (CPB by channel, bookings trend, channel attribution, time-slot volume, meeting load per employee) and the cross-source correlation views (marketing spend vs. engagement vs. lead generation) are pure SQL aggregation once processed/ is clean and joined — CTAS writes results directly to marts/ as new Parquet.</w:t>
      </w:r>
    </w:p>
    <w:p w14:paraId="6B39CBE5" w14:textId="77777777" w:rsidR="00306BCA" w:rsidRDefault="00000000">
      <w:pPr>
        <w:spacing w:after="120"/>
      </w:pPr>
      <w:r>
        <w:rPr>
          <w:b/>
          <w:bCs/>
        </w:rPr>
        <w:t xml:space="preserve">Dashboard — Amazon QuickSight: </w:t>
      </w:r>
      <w:r>
        <w:t>SME confirmed QuickSight is acceptable in place of Streamlit and that Streamlit's public-hosting requirement is not mandatory (Section 13), matching precedent from the last two capstones.</w:t>
      </w:r>
    </w:p>
    <w:p w14:paraId="23500CB9" w14:textId="77777777" w:rsidR="00306BCA" w:rsidRDefault="00000000">
      <w:pPr>
        <w:spacing w:after="120"/>
      </w:pPr>
      <w:r>
        <w:rPr>
          <w:b/>
          <w:bCs/>
        </w:rPr>
        <w:t xml:space="preserve">Notifications — Slack incoming webhook: </w:t>
      </w:r>
      <w:r>
        <w:t>SME confirmed either Slack or email is acceptable (Section 13). Slack is used because a workspace incoming-webhook URL is a five-minute setup, versus SES's domain-verification or sandbox-address overhead. Built behind a single notification-adapter function so switching to SES later is a one-function change, not a redesign.</w:t>
      </w:r>
    </w:p>
    <w:p w14:paraId="5104EAD9" w14:textId="77777777" w:rsidR="00306BCA" w:rsidRDefault="00000000">
      <w:pPr>
        <w:spacing w:after="120"/>
      </w:pPr>
      <w:r>
        <w:rPr>
          <w:b/>
          <w:bCs/>
        </w:rPr>
        <w:t xml:space="preserve">Security — Secrets Manager: </w:t>
      </w:r>
      <w:r>
        <w:t>SME confirmed the Wistia API token must be stored in Secrets Manager and never hardcoded or pushed to GitHub (Section 13). Close/Calendly webhook signing secrets are stored the same way.</w:t>
      </w:r>
    </w:p>
    <w:p w14:paraId="44B27846" w14:textId="77777777" w:rsidR="00306BCA" w:rsidRDefault="00000000">
      <w:pPr>
        <w:spacing w:after="120"/>
      </w:pPr>
      <w:r>
        <w:rPr>
          <w:b/>
          <w:bCs/>
        </w:rPr>
        <w:t xml:space="preserve">Provisioning — CloudFormation (infrastructure/foundation.yaml): </w:t>
      </w:r>
      <w:r>
        <w:t xml:space="preserve">The S3 bucket, SQS delay queue + DLQ, placeholder Secrets Manager secrets, and all 7 least-privilege IAM roles are defined as a single CloudFormation template rather than created by hand in the console. This gives every permission change a diffable, reviewable history in git instead of an unrecorded console click — directly addressing the recurring pattern noted across prior capstones of IAM gaps being patched </w:t>
      </w:r>
      <w:r>
        <w:lastRenderedPageBreak/>
        <w:t xml:space="preserve">reactively as they're discovered. The template is deployed once, manually (console upload), rather than through GitHub Actions: OIDC federation requires an IAM trust relationship to already exist before GitHub can assume any role, so the very first deploy of foundational infrastructure is necessarily a manual bootstrap step in any AWS account, not a shortcut specific to this project. The OIDC identity provider and deploy role are deferred to when the Lambda/Glue CI/CD pipeline is built (Section 15), since that is the </w:t>
      </w:r>
      <w:proofErr w:type="gramStart"/>
      <w:r>
        <w:t>piece</w:t>
      </w:r>
      <w:proofErr w:type="gramEnd"/>
      <w:r>
        <w:t xml:space="preserve"> the SME confirmed is the actual minimum CI/CD bar — not the one-time foundation stack. Deployed and verified August 10, 2026 (stack: insightflow-foundation).</w:t>
      </w:r>
    </w:p>
    <w:p w14:paraId="0DBCEF6C" w14:textId="77777777" w:rsidR="00306BCA" w:rsidRDefault="00000000">
      <w:pPr>
        <w:pStyle w:val="Heading1"/>
        <w:spacing w:before="300" w:after="150"/>
      </w:pPr>
      <w:r>
        <w:t>5. S3 Bucket &amp; Folder Architecture</w:t>
      </w:r>
    </w:p>
    <w:p w14:paraId="2439BB7B" w14:textId="77777777" w:rsidR="00306BCA" w:rsidRDefault="00000000">
      <w:pPr>
        <w:spacing w:after="150"/>
      </w:pPr>
      <w:r>
        <w:rPr>
          <w:rFonts w:ascii="Consolas" w:eastAsia="Consolas" w:hAnsi="Consolas" w:cs="Consolas"/>
          <w:sz w:val="18"/>
          <w:szCs w:val="18"/>
        </w:rPr>
        <w:t>s3://insightflow-project/   raw/     crm_events/dt=2026-08-08/crm_event_{lead_id</w:t>
      </w:r>
      <w:proofErr w:type="gramStart"/>
      <w:r>
        <w:rPr>
          <w:rFonts w:ascii="Consolas" w:eastAsia="Consolas" w:hAnsi="Consolas" w:cs="Consolas"/>
          <w:sz w:val="18"/>
          <w:szCs w:val="18"/>
        </w:rPr>
        <w:t>}.json</w:t>
      </w:r>
      <w:proofErr w:type="gramEnd"/>
      <w:r>
        <w:rPr>
          <w:rFonts w:ascii="Consolas" w:eastAsia="Consolas" w:hAnsi="Consolas" w:cs="Consolas"/>
          <w:sz w:val="18"/>
          <w:szCs w:val="18"/>
        </w:rPr>
        <w:t xml:space="preserve">     calendly_webhook_events/dt=2026-08-08/invitee_{invitee_id</w:t>
      </w:r>
      <w:proofErr w:type="gramStart"/>
      <w:r>
        <w:rPr>
          <w:rFonts w:ascii="Consolas" w:eastAsia="Consolas" w:hAnsi="Consolas" w:cs="Consolas"/>
          <w:sz w:val="18"/>
          <w:szCs w:val="18"/>
        </w:rPr>
        <w:t>}.json</w:t>
      </w:r>
      <w:proofErr w:type="gramEnd"/>
      <w:r>
        <w:rPr>
          <w:rFonts w:ascii="Consolas" w:eastAsia="Consolas" w:hAnsi="Consolas" w:cs="Consolas"/>
          <w:sz w:val="18"/>
          <w:szCs w:val="18"/>
        </w:rPr>
        <w:t xml:space="preserve">     calendly_spend/dt=2026-08-08/spend_data_2026-08-07.json     wistia_stats/media_id={media_id}/dt=2026-08-08/...   processed/     crm_leads_enriched/                          (Parquet — lead + owner merged)     calendly_bookings/year_qtr=2026Q3/            (Parquet, cleaned/standardized — not yet joined to spend)     calendly_spend/year_qtr=2026Q3/               (Parquet)     wistia_engagement/media_id={media_id}/        (Parquet, media + visitor-level)   marts/     daily_calls_booked_by_source/     cost_per_booking_by_channel/     bookings_trend_over_time/     channel_attribution/     booking_volume_by_timeslot/     meeting_load_per_employee/     channel_performance_summary/                  (cross-source, channel+date grain: CRM + Wistia + Calendly)   athena-results/</w:t>
      </w:r>
    </w:p>
    <w:p w14:paraId="55DA2ED4" w14:textId="77777777" w:rsidR="00306BCA" w:rsidRDefault="00000000">
      <w:pPr>
        <w:spacing w:after="120"/>
      </w:pPr>
      <w:r>
        <w:t>raw/ is partitioned by ingestion date (dt=) for audit trail; processed/ and marts/ are partitioned by reporting period (year_qtr= / media_id=) since that is what the dashboard's trend views actually slice on — same ingestion-date-vs-reporting-period distinction documented on Healthcare Metrics.</w:t>
      </w:r>
    </w:p>
    <w:p w14:paraId="2E43705B" w14:textId="77777777" w:rsidR="00306BCA" w:rsidRDefault="00000000">
      <w:pPr>
        <w:pStyle w:val="Heading1"/>
        <w:spacing w:before="300" w:after="150"/>
      </w:pPr>
      <w:r>
        <w:t>6. CRM (Close) Pipeline — Detailed Flow</w:t>
      </w:r>
    </w:p>
    <w:p w14:paraId="6C3A17C4" w14:textId="77777777" w:rsidR="00306BCA" w:rsidRDefault="00000000">
      <w:pPr>
        <w:spacing w:after="120"/>
      </w:pPr>
      <w:r>
        <w:t>Per SME direction, this flow uses the SQS delay-queue pattern named in the brief rather than an orchestrator — Step Functions and EventBridge Scheduler are not used here (Section 13).</w:t>
      </w:r>
    </w:p>
    <w:p w14:paraId="0BAEA9B3" w14:textId="77777777" w:rsidR="00306BCA" w:rsidRDefault="00000000">
      <w:pPr>
        <w:pStyle w:val="ListParagraph"/>
        <w:numPr>
          <w:ilvl w:val="0"/>
          <w:numId w:val="1"/>
        </w:numPr>
        <w:spacing w:after="80"/>
      </w:pPr>
      <w:r>
        <w:t>Close webhook subscription POSTs lead-created/updated events to an API Gateway endpoint backed by Lambda.</w:t>
      </w:r>
    </w:p>
    <w:p w14:paraId="46B0F64B" w14:textId="77777777" w:rsidR="00306BCA" w:rsidRDefault="00000000">
      <w:pPr>
        <w:pStyle w:val="ListParagraph"/>
        <w:numPr>
          <w:ilvl w:val="0"/>
          <w:numId w:val="1"/>
        </w:numPr>
        <w:spacing w:after="80"/>
      </w:pPr>
      <w:r>
        <w:t>Lambda validates the Close-Sig-Hash signature, writes the raw event to raw/crm_events/ as crm_event_{lead_id</w:t>
      </w:r>
      <w:proofErr w:type="gramStart"/>
      <w:r>
        <w:t>}.json</w:t>
      </w:r>
      <w:proofErr w:type="gramEnd"/>
      <w:r>
        <w:t>, and sends a message (lead_id + event metadata) to a standard SQS queue with DelaySeconds=600 (10 minutes).</w:t>
      </w:r>
    </w:p>
    <w:p w14:paraId="0DE572EA" w14:textId="77777777" w:rsidR="00306BCA" w:rsidRDefault="00000000">
      <w:pPr>
        <w:pStyle w:val="ListParagraph"/>
        <w:numPr>
          <w:ilvl w:val="0"/>
          <w:numId w:val="1"/>
        </w:numPr>
        <w:spacing w:after="80"/>
      </w:pPr>
      <w:r>
        <w:t>The delayed message becomes visible to a second Lambda, wired to the queue via an SQS event-source mapping, only after the 10-minute delay elapses — giving Close time to assign a lead owner.</w:t>
      </w:r>
    </w:p>
    <w:p w14:paraId="3676426A" w14:textId="77777777" w:rsidR="00306BCA" w:rsidRDefault="00000000">
      <w:pPr>
        <w:pStyle w:val="ListParagraph"/>
        <w:numPr>
          <w:ilvl w:val="0"/>
          <w:numId w:val="1"/>
        </w:numPr>
        <w:spacing w:after="80"/>
      </w:pPr>
      <w:r>
        <w:t>That Lambda reads the corresponding {lead_id</w:t>
      </w:r>
      <w:proofErr w:type="gramStart"/>
      <w:r>
        <w:t>}.json</w:t>
      </w:r>
      <w:proofErr w:type="gramEnd"/>
      <w:r>
        <w:t xml:space="preserve"> from the public dea-lead-owner S3 bucket. SME confirmed this bucket holds Day-1 (one-day-back) data, and that once the webhook is created, lookups against it are keyed by lead_id (Section 13). Because the bucket refreshes on a daily cycle rather than in step with the 10-minute wait, a lead created today may not yet have an owner reflected in the file the pipeline reads; per SME guidance this is the intended lookup pattern, so the merge step treats a missing owner as a valid outcome (lead_owner: null) rather than an error — no additional polling or extended-wait logic is introduced beyond what the brief specifies.</w:t>
      </w:r>
    </w:p>
    <w:p w14:paraId="71DEBA51" w14:textId="77777777" w:rsidR="00306BCA" w:rsidRDefault="00000000">
      <w:pPr>
        <w:pStyle w:val="ListParagraph"/>
        <w:numPr>
          <w:ilvl w:val="0"/>
          <w:numId w:val="1"/>
        </w:numPr>
        <w:spacing w:after="80"/>
      </w:pPr>
      <w:r>
        <w:t>The same Lambda merges lead + owner data on lead_id and writes the result as Parquet to processed/crm_leads_enriched/, matching the Parquet format used by the Calendly and Wistia Glue outputs so all three processed/ tables are catalogued and queried the same way. Field precedence: the webhook event is authoritative for lead-creation facts (display_name, status_label, date_created) since it is the real-time source of truth; the lookup file is authoritative only for the two fields it uniquely contributes — lead_owner and lead_email, when present. Overlapping fields are not reconciled or averaged — the webhook value wins.</w:t>
      </w:r>
    </w:p>
    <w:p w14:paraId="089E9F27" w14:textId="77777777" w:rsidR="00306BCA" w:rsidRDefault="00000000">
      <w:pPr>
        <w:pStyle w:val="ListParagraph"/>
        <w:numPr>
          <w:ilvl w:val="0"/>
          <w:numId w:val="1"/>
        </w:numPr>
        <w:spacing w:after="80"/>
      </w:pPr>
      <w:r>
        <w:t>The same Lambda invocation posts to Slack: Name, Lead ID, Created Date, Label, Email, Lead Owner (or “pending” if not yet available), Funnel.</w:t>
      </w:r>
    </w:p>
    <w:p w14:paraId="484C5A08" w14:textId="77777777" w:rsidR="00306BCA" w:rsidRDefault="00000000">
      <w:pPr>
        <w:pStyle w:val="ListParagraph"/>
        <w:numPr>
          <w:ilvl w:val="0"/>
          <w:numId w:val="1"/>
        </w:numPr>
        <w:spacing w:after="80"/>
      </w:pPr>
      <w:r>
        <w:t>Idempotency: since SQS standard queues are at-least-once delivery, the consumer Lambda checks for an existing processed/crm_leads_enriched/{lead_id} record before writing — a redelivered message is a no-op rather than a duplicate write or duplicate Slack notification.</w:t>
      </w:r>
    </w:p>
    <w:p w14:paraId="3426CDF5" w14:textId="77777777" w:rsidR="00306BCA" w:rsidRDefault="00000000">
      <w:pPr>
        <w:pStyle w:val="ListParagraph"/>
        <w:numPr>
          <w:ilvl w:val="0"/>
          <w:numId w:val="1"/>
        </w:numPr>
        <w:spacing w:after="80"/>
      </w:pPr>
      <w:r>
        <w:t>Fault tolerance: the queue's redrive policy routes a message to a dedicated dead-letter queue after 3 failed processing attempts, with a CloudWatch alarm on DLQ depth. This is the mechanism used to demonstrate the brief's fault-tolerance/recovery requirement for this flow, replacing what a Step Functions execution history would otherwise provide.</w:t>
      </w:r>
    </w:p>
    <w:p w14:paraId="4FB7FCCE" w14:textId="77777777" w:rsidR="00306BCA" w:rsidRDefault="00000000">
      <w:pPr>
        <w:pStyle w:val="Heading1"/>
        <w:spacing w:before="300" w:after="150"/>
      </w:pPr>
      <w:r>
        <w:lastRenderedPageBreak/>
        <w:t>7. Calendly Pipeline — Detailed Flow</w:t>
      </w:r>
    </w:p>
    <w:p w14:paraId="606A4BA4" w14:textId="77777777" w:rsidR="00306BCA" w:rsidRDefault="00000000">
      <w:pPr>
        <w:pStyle w:val="ListParagraph"/>
        <w:numPr>
          <w:ilvl w:val="0"/>
          <w:numId w:val="1"/>
        </w:numPr>
        <w:spacing w:after="80"/>
      </w:pPr>
      <w:r>
        <w:t>Calendly webhook (</w:t>
      </w:r>
      <w:proofErr w:type="gramStart"/>
      <w:r>
        <w:t>invitee.created</w:t>
      </w:r>
      <w:proofErr w:type="gramEnd"/>
      <w:r>
        <w:t>) POSTs to API Gateway + Lambda, filtered to the three tracked event_types (Facebook, YouTube, TikTok paid ads).</w:t>
      </w:r>
    </w:p>
    <w:p w14:paraId="68E4C67D" w14:textId="77777777" w:rsidR="00306BCA" w:rsidRDefault="00000000">
      <w:pPr>
        <w:pStyle w:val="ListParagraph"/>
        <w:numPr>
          <w:ilvl w:val="0"/>
          <w:numId w:val="1"/>
        </w:numPr>
        <w:spacing w:after="80"/>
      </w:pPr>
      <w:r>
        <w:t>Event written unmodified to raw/calendly_webhook_events/ — consistent with CRM and Wistia, raw stays an untouched mirror of the source so any transformation bug can be replayed from scratch; flattening happens in the Glue job below, not before landing.</w:t>
      </w:r>
    </w:p>
    <w:p w14:paraId="2B9FA98A" w14:textId="77777777" w:rsidR="00306BCA" w:rsidRDefault="00000000">
      <w:pPr>
        <w:pStyle w:val="ListParagraph"/>
        <w:numPr>
          <w:ilvl w:val="0"/>
          <w:numId w:val="1"/>
        </w:numPr>
        <w:spacing w:after="80"/>
      </w:pPr>
      <w:r>
        <w:t>Separate EventBridge-scheduled Lambda pulls the daily spend file (spend_data_{Day-1</w:t>
      </w:r>
      <w:proofErr w:type="gramStart"/>
      <w:r>
        <w:t>}.json</w:t>
      </w:r>
      <w:proofErr w:type="gramEnd"/>
      <w:r>
        <w:t>) each morning after the ~06:00 EST publish window, using file_</w:t>
      </w:r>
      <w:proofErr w:type="gramStart"/>
      <w:r>
        <w:t>index.json</w:t>
      </w:r>
      <w:proofErr w:type="gramEnd"/>
      <w:r>
        <w:t xml:space="preserve"> to confirm availability before pulling; retries on a short backoff if the file isn't yet present. This scheduled pull is unrelated to the CRM delay-mechanism question and is unaffected by SME guidance against using EventBridge Scheduler for the CRM flow specifically.</w:t>
      </w:r>
    </w:p>
    <w:p w14:paraId="2737DDD7" w14:textId="77777777" w:rsidR="00306BCA" w:rsidRDefault="00000000">
      <w:pPr>
        <w:pStyle w:val="ListParagraph"/>
        <w:numPr>
          <w:ilvl w:val="0"/>
          <w:numId w:val="1"/>
        </w:numPr>
        <w:spacing w:after="80"/>
      </w:pPr>
      <w:r>
        <w:t>Glue job flattens and standardizes bookings into processed/calendly_bookings/ and spend into processed/calendly_spend/ as two separate clean Parquet tables — mirroring how CRM and Wistia each stay their own table through processed/. The join between bookings and spend on channel + date, and the metric computation in Section 9, happen together at the gold layer via Athena CTAS, not in this Glue job.</w:t>
      </w:r>
    </w:p>
    <w:p w14:paraId="25463841" w14:textId="77777777" w:rsidR="00306BCA" w:rsidRDefault="00000000">
      <w:pPr>
        <w:pStyle w:val="Heading1"/>
        <w:spacing w:before="300" w:after="150"/>
      </w:pPr>
      <w:r>
        <w:t>8. Wistia Pipeline — Detailed Flow</w:t>
      </w:r>
    </w:p>
    <w:p w14:paraId="11E8E378" w14:textId="77777777" w:rsidR="00306BCA" w:rsidRDefault="00000000">
      <w:pPr>
        <w:pStyle w:val="ListParagraph"/>
        <w:numPr>
          <w:ilvl w:val="0"/>
          <w:numId w:val="1"/>
        </w:numPr>
        <w:spacing w:after="80"/>
      </w:pPr>
      <w:r>
        <w:t>EventBridge-scheduled Lambda authenticates via token-based Basic Auth (token in Secrets Manager).</w:t>
      </w:r>
    </w:p>
    <w:p w14:paraId="2E6B1B82" w14:textId="77777777" w:rsidR="00306BCA" w:rsidRDefault="00000000">
      <w:pPr>
        <w:pStyle w:val="ListParagraph"/>
        <w:numPr>
          <w:ilvl w:val="0"/>
          <w:numId w:val="1"/>
        </w:numPr>
        <w:spacing w:after="80"/>
      </w:pPr>
      <w:r>
        <w:t>Pulls media metadata, engagement metrics, and visitor-level data for the two given media IDs, paginating through all result pages.</w:t>
      </w:r>
    </w:p>
    <w:p w14:paraId="5E0B0472" w14:textId="77777777" w:rsidR="00306BCA" w:rsidRDefault="00000000">
      <w:pPr>
        <w:pStyle w:val="ListParagraph"/>
        <w:numPr>
          <w:ilvl w:val="0"/>
          <w:numId w:val="1"/>
        </w:numPr>
        <w:spacing w:after="80"/>
      </w:pPr>
      <w:r>
        <w:t>Incremental ingestion uses the SSM-stored created_at/updated_at watermark so re-runs don't reprocess unchanged records.</w:t>
      </w:r>
    </w:p>
    <w:p w14:paraId="67B6686C" w14:textId="77777777" w:rsidR="00306BCA" w:rsidRDefault="00000000">
      <w:pPr>
        <w:pStyle w:val="ListParagraph"/>
        <w:numPr>
          <w:ilvl w:val="0"/>
          <w:numId w:val="1"/>
        </w:numPr>
        <w:spacing w:after="80"/>
      </w:pPr>
      <w:r>
        <w:t>Written to raw/wistia_stats/, then flattened to processed/wistia_engagement/.</w:t>
      </w:r>
    </w:p>
    <w:p w14:paraId="5BD0DD5C" w14:textId="77777777" w:rsidR="00306BCA" w:rsidRDefault="00000000">
      <w:pPr>
        <w:pStyle w:val="Heading1"/>
        <w:spacing w:before="300" w:after="150"/>
      </w:pPr>
      <w:r>
        <w:t>9. Calendly Metrics — Marts Layer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1700"/>
      </w:tblGrid>
      <w:tr w:rsidR="00306BCA" w14:paraId="4CDA7C98" w14:textId="77777777">
        <w:tblPrEx>
          <w:tblCellMar>
            <w:top w:w="0" w:type="dxa"/>
            <w:bottom w:w="0" w:type="dxa"/>
          </w:tblCellMar>
        </w:tblPrEx>
        <w:tc>
          <w:tcPr>
            <w:tcW w:w="2600" w:type="dxa"/>
            <w:shd w:val="clear" w:color="auto" w:fill="D9D9D9"/>
          </w:tcPr>
          <w:p w14:paraId="76C9025D" w14:textId="77777777" w:rsidR="00306BCA" w:rsidRDefault="00000000">
            <w:r>
              <w:rPr>
                <w:b/>
                <w:bCs/>
              </w:rPr>
              <w:t>Metric</w:t>
            </w:r>
          </w:p>
        </w:tc>
        <w:tc>
          <w:tcPr>
            <w:tcW w:w="4200" w:type="dxa"/>
            <w:shd w:val="clear" w:color="auto" w:fill="D9D9D9"/>
          </w:tcPr>
          <w:p w14:paraId="186C91DD" w14:textId="77777777" w:rsidR="00306BCA" w:rsidRDefault="00000000">
            <w:r>
              <w:rPr>
                <w:b/>
                <w:bCs/>
              </w:rPr>
              <w:t>Formula / Logic</w:t>
            </w:r>
          </w:p>
        </w:tc>
        <w:tc>
          <w:tcPr>
            <w:tcW w:w="1700" w:type="dxa"/>
            <w:shd w:val="clear" w:color="auto" w:fill="D9D9D9"/>
          </w:tcPr>
          <w:p w14:paraId="18248A4D" w14:textId="77777777" w:rsidR="00306BCA" w:rsidRDefault="00000000">
            <w:r>
              <w:rPr>
                <w:b/>
                <w:bCs/>
              </w:rPr>
              <w:t>Grain</w:t>
            </w:r>
          </w:p>
        </w:tc>
      </w:tr>
      <w:tr w:rsidR="00306BCA" w14:paraId="3D5082F1" w14:textId="77777777">
        <w:tblPrEx>
          <w:tblCellMar>
            <w:top w:w="0" w:type="dxa"/>
            <w:bottom w:w="0" w:type="dxa"/>
          </w:tblCellMar>
        </w:tblPrEx>
        <w:tc>
          <w:tcPr>
            <w:tcW w:w="2600" w:type="dxa"/>
          </w:tcPr>
          <w:p w14:paraId="74EABE23" w14:textId="77777777" w:rsidR="00306BCA" w:rsidRDefault="00000000">
            <w:r>
              <w:t>Daily calls booked by source</w:t>
            </w:r>
          </w:p>
        </w:tc>
        <w:tc>
          <w:tcPr>
            <w:tcW w:w="4200" w:type="dxa"/>
          </w:tcPr>
          <w:p w14:paraId="6C8D4CA2" w14:textId="77777777" w:rsidR="00306BCA" w:rsidRDefault="00000000">
            <w:proofErr w:type="gramStart"/>
            <w:r>
              <w:t>COUNT(</w:t>
            </w:r>
            <w:proofErr w:type="gramEnd"/>
            <w:r>
              <w:t>booking_id) GROUP BY booking_date, source</w:t>
            </w:r>
          </w:p>
        </w:tc>
        <w:tc>
          <w:tcPr>
            <w:tcW w:w="1700" w:type="dxa"/>
          </w:tcPr>
          <w:p w14:paraId="03C1CFE0" w14:textId="77777777" w:rsidR="00306BCA" w:rsidRDefault="00000000">
            <w:r>
              <w:t>date, source</w:t>
            </w:r>
          </w:p>
        </w:tc>
      </w:tr>
      <w:tr w:rsidR="00306BCA" w14:paraId="3C7B6049" w14:textId="77777777">
        <w:tblPrEx>
          <w:tblCellMar>
            <w:top w:w="0" w:type="dxa"/>
            <w:bottom w:w="0" w:type="dxa"/>
          </w:tblCellMar>
        </w:tblPrEx>
        <w:tc>
          <w:tcPr>
            <w:tcW w:w="2600" w:type="dxa"/>
          </w:tcPr>
          <w:p w14:paraId="54BC24BA" w14:textId="77777777" w:rsidR="00306BCA" w:rsidRDefault="00000000">
            <w:r>
              <w:t>Cost per booking (CPB)</w:t>
            </w:r>
          </w:p>
        </w:tc>
        <w:tc>
          <w:tcPr>
            <w:tcW w:w="4200" w:type="dxa"/>
          </w:tcPr>
          <w:p w14:paraId="50D9D0DB" w14:textId="77777777" w:rsidR="00306BCA" w:rsidRDefault="00000000">
            <w:proofErr w:type="gramStart"/>
            <w:r>
              <w:t>SUM(</w:t>
            </w:r>
            <w:proofErr w:type="gramEnd"/>
            <w:r>
              <w:t xml:space="preserve">spend) / </w:t>
            </w:r>
            <w:proofErr w:type="gramStart"/>
            <w:r>
              <w:t>COUNT(</w:t>
            </w:r>
            <w:proofErr w:type="gramEnd"/>
            <w:r>
              <w:t>booking_id) GROUP BY channel</w:t>
            </w:r>
          </w:p>
        </w:tc>
        <w:tc>
          <w:tcPr>
            <w:tcW w:w="1700" w:type="dxa"/>
          </w:tcPr>
          <w:p w14:paraId="4F2E40DE" w14:textId="77777777" w:rsidR="00306BCA" w:rsidRDefault="00000000">
            <w:r>
              <w:t>channel</w:t>
            </w:r>
          </w:p>
        </w:tc>
      </w:tr>
      <w:tr w:rsidR="00306BCA" w14:paraId="0944EE9C" w14:textId="77777777">
        <w:tblPrEx>
          <w:tblCellMar>
            <w:top w:w="0" w:type="dxa"/>
            <w:bottom w:w="0" w:type="dxa"/>
          </w:tblCellMar>
        </w:tblPrEx>
        <w:tc>
          <w:tcPr>
            <w:tcW w:w="2600" w:type="dxa"/>
          </w:tcPr>
          <w:p w14:paraId="6429AFFA" w14:textId="77777777" w:rsidR="00306BCA" w:rsidRDefault="00000000">
            <w:r>
              <w:t>Bookings trend over time</w:t>
            </w:r>
          </w:p>
        </w:tc>
        <w:tc>
          <w:tcPr>
            <w:tcW w:w="4200" w:type="dxa"/>
          </w:tcPr>
          <w:p w14:paraId="2E50F365" w14:textId="77777777" w:rsidR="00306BCA" w:rsidRDefault="00000000">
            <w:proofErr w:type="gramStart"/>
            <w:r>
              <w:t>COUNT(</w:t>
            </w:r>
            <w:proofErr w:type="gramEnd"/>
            <w:r>
              <w:t>booking_id) GROUP BY booking_date, source (+cumulative)</w:t>
            </w:r>
          </w:p>
        </w:tc>
        <w:tc>
          <w:tcPr>
            <w:tcW w:w="1700" w:type="dxa"/>
          </w:tcPr>
          <w:p w14:paraId="729640E8" w14:textId="77777777" w:rsidR="00306BCA" w:rsidRDefault="00000000">
            <w:r>
              <w:t>date, source</w:t>
            </w:r>
          </w:p>
        </w:tc>
      </w:tr>
      <w:tr w:rsidR="00306BCA" w14:paraId="57D18463" w14:textId="77777777">
        <w:tblPrEx>
          <w:tblCellMar>
            <w:top w:w="0" w:type="dxa"/>
            <w:bottom w:w="0" w:type="dxa"/>
          </w:tblCellMar>
        </w:tblPrEx>
        <w:tc>
          <w:tcPr>
            <w:tcW w:w="2600" w:type="dxa"/>
          </w:tcPr>
          <w:p w14:paraId="3482808F" w14:textId="77777777" w:rsidR="00306BCA" w:rsidRDefault="00000000">
            <w:r>
              <w:t>Channel attribution</w:t>
            </w:r>
          </w:p>
        </w:tc>
        <w:tc>
          <w:tcPr>
            <w:tcW w:w="4200" w:type="dxa"/>
          </w:tcPr>
          <w:p w14:paraId="0D8AB609" w14:textId="77777777" w:rsidR="00306BCA" w:rsidRDefault="00000000">
            <w:r>
              <w:t>bookings, spend, CPB GROUP BY source, campaign</w:t>
            </w:r>
          </w:p>
        </w:tc>
        <w:tc>
          <w:tcPr>
            <w:tcW w:w="1700" w:type="dxa"/>
          </w:tcPr>
          <w:p w14:paraId="1D7620B5" w14:textId="77777777" w:rsidR="00306BCA" w:rsidRDefault="00000000">
            <w:r>
              <w:t>source, campaign</w:t>
            </w:r>
          </w:p>
        </w:tc>
      </w:tr>
      <w:tr w:rsidR="00306BCA" w14:paraId="1270C65E" w14:textId="77777777">
        <w:tblPrEx>
          <w:tblCellMar>
            <w:top w:w="0" w:type="dxa"/>
            <w:bottom w:w="0" w:type="dxa"/>
          </w:tblCellMar>
        </w:tblPrEx>
        <w:tc>
          <w:tcPr>
            <w:tcW w:w="2600" w:type="dxa"/>
          </w:tcPr>
          <w:p w14:paraId="1BD0B27E" w14:textId="77777777" w:rsidR="00306BCA" w:rsidRDefault="00000000">
            <w:r>
              <w:t>Booking volume by time slot</w:t>
            </w:r>
          </w:p>
        </w:tc>
        <w:tc>
          <w:tcPr>
            <w:tcW w:w="4200" w:type="dxa"/>
          </w:tcPr>
          <w:p w14:paraId="305C4E29" w14:textId="77777777" w:rsidR="00306BCA" w:rsidRDefault="00000000">
            <w:proofErr w:type="gramStart"/>
            <w:r>
              <w:t>COUNT(</w:t>
            </w:r>
            <w:proofErr w:type="gramEnd"/>
            <w:r>
              <w:t>booking_id) GROUP BY hour, day_of_week</w:t>
            </w:r>
          </w:p>
        </w:tc>
        <w:tc>
          <w:tcPr>
            <w:tcW w:w="1700" w:type="dxa"/>
          </w:tcPr>
          <w:p w14:paraId="602F522F" w14:textId="77777777" w:rsidR="00306BCA" w:rsidRDefault="00000000">
            <w:r>
              <w:t>hour, weekday</w:t>
            </w:r>
          </w:p>
        </w:tc>
      </w:tr>
      <w:tr w:rsidR="00306BCA" w14:paraId="619A943B" w14:textId="77777777">
        <w:tblPrEx>
          <w:tblCellMar>
            <w:top w:w="0" w:type="dxa"/>
            <w:bottom w:w="0" w:type="dxa"/>
          </w:tblCellMar>
        </w:tblPrEx>
        <w:tc>
          <w:tcPr>
            <w:tcW w:w="2600" w:type="dxa"/>
          </w:tcPr>
          <w:p w14:paraId="0B76D034" w14:textId="77777777" w:rsidR="00306BCA" w:rsidRDefault="00000000">
            <w:r>
              <w:t>Meeting load per employee</w:t>
            </w:r>
          </w:p>
        </w:tc>
        <w:tc>
          <w:tcPr>
            <w:tcW w:w="4200" w:type="dxa"/>
          </w:tcPr>
          <w:p w14:paraId="681E1C60" w14:textId="77777777" w:rsidR="00306BCA" w:rsidRDefault="00000000">
            <w:proofErr w:type="gramStart"/>
            <w:r>
              <w:t>COUNT(</w:t>
            </w:r>
            <w:proofErr w:type="gramEnd"/>
            <w:r>
              <w:t xml:space="preserve">meeting_id) / </w:t>
            </w:r>
            <w:proofErr w:type="gramStart"/>
            <w:r>
              <w:t>COUNT(</w:t>
            </w:r>
            <w:proofErr w:type="gramEnd"/>
            <w:r>
              <w:t>DISTINCT week) GROUP BY employee_id</w:t>
            </w:r>
          </w:p>
        </w:tc>
        <w:tc>
          <w:tcPr>
            <w:tcW w:w="1700" w:type="dxa"/>
          </w:tcPr>
          <w:p w14:paraId="663385A2" w14:textId="77777777" w:rsidR="00306BCA" w:rsidRDefault="00000000">
            <w:r>
              <w:t>employee, week</w:t>
            </w:r>
          </w:p>
        </w:tc>
      </w:tr>
    </w:tbl>
    <w:p w14:paraId="0235895C" w14:textId="77777777" w:rsidR="00306BCA" w:rsidRDefault="00000000">
      <w:pPr>
        <w:pStyle w:val="Heading1"/>
        <w:spacing w:before="300" w:after="150"/>
      </w:pPr>
      <w:r>
        <w:t>10. Cross-Source Correlation — channel_performance_summary</w:t>
      </w:r>
    </w:p>
    <w:p w14:paraId="5AE32D71" w14:textId="77777777" w:rsidR="00306BCA" w:rsidRDefault="00000000">
      <w:pPr>
        <w:spacing w:after="120"/>
      </w:pPr>
      <w:r>
        <w:t>No field in the Wistia API scope given (media metadata, engagement metrics, visitor IP, engagement events) identifies an individual viewer as a specific CRM lead or Calendly booking — there is no shared email or lead_id across Wistia and the other two sources. The only dimension Wistia shares with CRM and Calendly is channel (a video lives on Facebook or YouTube, matching Calendly's event_type and the CRM lead's funnel field) and date.</w:t>
      </w:r>
    </w:p>
    <w:p w14:paraId="58532989" w14:textId="77777777" w:rsidR="00306BCA" w:rsidRDefault="00000000">
      <w:pPr>
        <w:spacing w:after="120"/>
      </w:pPr>
      <w:r>
        <w:t>channel_performance_summary is therefore built at channel + date grain, not person grain: for a given channel and day, it rolls up Wistia plays/engagement, Calendly bookings, and CRM leads created side by side. This answers the brief's request to “find relevance between marketing efforts, video visitor analysis, and new lead generation” as a correlation between channel-level trends, not as a traced individual customer journey. This mart was originally scoped as marketing_engagement_lead_correlation implying a joined journey; renamed here to avoid overstating what the join can support (Section 14, Item 3).</w:t>
      </w:r>
    </w:p>
    <w:p w14:paraId="096D4351" w14:textId="77777777" w:rsidR="00306BCA" w:rsidRDefault="00000000">
      <w:pPr>
        <w:pStyle w:val="Heading1"/>
        <w:spacing w:before="300" w:after="150"/>
      </w:pPr>
      <w:r>
        <w:lastRenderedPageBreak/>
        <w:t>11. Cost Considerations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100"/>
      </w:tblGrid>
      <w:tr w:rsidR="00306BCA" w14:paraId="67CEB3D2" w14:textId="77777777">
        <w:tblPrEx>
          <w:tblCellMar>
            <w:top w:w="0" w:type="dxa"/>
            <w:bottom w:w="0" w:type="dxa"/>
          </w:tblCellMar>
        </w:tblPrEx>
        <w:tc>
          <w:tcPr>
            <w:tcW w:w="2200" w:type="dxa"/>
            <w:shd w:val="clear" w:color="auto" w:fill="D9D9D9"/>
          </w:tcPr>
          <w:p w14:paraId="3FBC2609" w14:textId="77777777" w:rsidR="00306BCA" w:rsidRDefault="00000000">
            <w:r>
              <w:rPr>
                <w:b/>
                <w:bCs/>
              </w:rPr>
              <w:t>Service</w:t>
            </w:r>
          </w:p>
        </w:tc>
        <w:tc>
          <w:tcPr>
            <w:tcW w:w="3200" w:type="dxa"/>
            <w:shd w:val="clear" w:color="auto" w:fill="D9D9D9"/>
          </w:tcPr>
          <w:p w14:paraId="300BF62C" w14:textId="77777777" w:rsidR="00306BCA" w:rsidRDefault="00000000">
            <w:r>
              <w:rPr>
                <w:b/>
                <w:bCs/>
              </w:rPr>
              <w:t>Est. monthly cost driver</w:t>
            </w:r>
          </w:p>
        </w:tc>
        <w:tc>
          <w:tcPr>
            <w:tcW w:w="3100" w:type="dxa"/>
            <w:shd w:val="clear" w:color="auto" w:fill="D9D9D9"/>
          </w:tcPr>
          <w:p w14:paraId="55EFB3B9" w14:textId="77777777" w:rsidR="00306BCA" w:rsidRDefault="00000000">
            <w:r>
              <w:rPr>
                <w:b/>
                <w:bCs/>
              </w:rPr>
              <w:t>Notes</w:t>
            </w:r>
          </w:p>
        </w:tc>
      </w:tr>
      <w:tr w:rsidR="00306BCA" w14:paraId="4F9F2D4D" w14:textId="77777777">
        <w:tblPrEx>
          <w:tblCellMar>
            <w:top w:w="0" w:type="dxa"/>
            <w:bottom w:w="0" w:type="dxa"/>
          </w:tblCellMar>
        </w:tblPrEx>
        <w:tc>
          <w:tcPr>
            <w:tcW w:w="2200" w:type="dxa"/>
          </w:tcPr>
          <w:p w14:paraId="7FD5638A" w14:textId="77777777" w:rsidR="00306BCA" w:rsidRDefault="00000000">
            <w:r>
              <w:t>API Gateway</w:t>
            </w:r>
          </w:p>
        </w:tc>
        <w:tc>
          <w:tcPr>
            <w:tcW w:w="3200" w:type="dxa"/>
          </w:tcPr>
          <w:p w14:paraId="3858A6AF" w14:textId="77777777" w:rsidR="00306BCA" w:rsidRDefault="00000000">
            <w:r>
              <w:t>Free tier (1M calls/mo)</w:t>
            </w:r>
          </w:p>
        </w:tc>
        <w:tc>
          <w:tcPr>
            <w:tcW w:w="3100" w:type="dxa"/>
          </w:tcPr>
          <w:p w14:paraId="3BFF63A9" w14:textId="77777777" w:rsidR="00306BCA" w:rsidRDefault="00000000">
            <w:r>
              <w:t>Two REST endpoints (CRM, Calendly)</w:t>
            </w:r>
          </w:p>
        </w:tc>
      </w:tr>
      <w:tr w:rsidR="00306BCA" w14:paraId="105AD355" w14:textId="77777777">
        <w:tblPrEx>
          <w:tblCellMar>
            <w:top w:w="0" w:type="dxa"/>
            <w:bottom w:w="0" w:type="dxa"/>
          </w:tblCellMar>
        </w:tblPrEx>
        <w:tc>
          <w:tcPr>
            <w:tcW w:w="2200" w:type="dxa"/>
          </w:tcPr>
          <w:p w14:paraId="2899B3D2" w14:textId="77777777" w:rsidR="00306BCA" w:rsidRDefault="00000000">
            <w:r>
              <w:t>Lambda</w:t>
            </w:r>
          </w:p>
        </w:tc>
        <w:tc>
          <w:tcPr>
            <w:tcW w:w="3200" w:type="dxa"/>
          </w:tcPr>
          <w:p w14:paraId="2B9458C1" w14:textId="77777777" w:rsidR="00306BCA" w:rsidRDefault="00000000">
            <w:r>
              <w:t>Free tier (1M req/mo)</w:t>
            </w:r>
          </w:p>
        </w:tc>
        <w:tc>
          <w:tcPr>
            <w:tcW w:w="3100" w:type="dxa"/>
          </w:tcPr>
          <w:p w14:paraId="751DB94E" w14:textId="77777777" w:rsidR="00306BCA" w:rsidRDefault="00000000">
            <w:r>
              <w:t>Webhook handlers, SQS consumer, scheduled pulls</w:t>
            </w:r>
          </w:p>
        </w:tc>
      </w:tr>
      <w:tr w:rsidR="00306BCA" w14:paraId="2877CBB3" w14:textId="77777777">
        <w:tblPrEx>
          <w:tblCellMar>
            <w:top w:w="0" w:type="dxa"/>
            <w:bottom w:w="0" w:type="dxa"/>
          </w:tblCellMar>
        </w:tblPrEx>
        <w:tc>
          <w:tcPr>
            <w:tcW w:w="2200" w:type="dxa"/>
          </w:tcPr>
          <w:p w14:paraId="076A303C" w14:textId="77777777" w:rsidR="00306BCA" w:rsidRDefault="00000000">
            <w:r>
              <w:t>SQS</w:t>
            </w:r>
          </w:p>
        </w:tc>
        <w:tc>
          <w:tcPr>
            <w:tcW w:w="3200" w:type="dxa"/>
          </w:tcPr>
          <w:p w14:paraId="0FC924CC" w14:textId="77777777" w:rsidR="00306BCA" w:rsidRDefault="00000000">
            <w:r>
              <w:t>Free tier (1M requests/mo)</w:t>
            </w:r>
          </w:p>
        </w:tc>
        <w:tc>
          <w:tcPr>
            <w:tcW w:w="3100" w:type="dxa"/>
          </w:tcPr>
          <w:p w14:paraId="32956606" w14:textId="77777777" w:rsidR="00306BCA" w:rsidRDefault="00000000">
            <w:r>
              <w:t>One delay queue + one DLQ for the CRM flow</w:t>
            </w:r>
          </w:p>
        </w:tc>
      </w:tr>
      <w:tr w:rsidR="00306BCA" w14:paraId="4BAD6F58" w14:textId="77777777">
        <w:tblPrEx>
          <w:tblCellMar>
            <w:top w:w="0" w:type="dxa"/>
            <w:bottom w:w="0" w:type="dxa"/>
          </w:tblCellMar>
        </w:tblPrEx>
        <w:tc>
          <w:tcPr>
            <w:tcW w:w="2200" w:type="dxa"/>
          </w:tcPr>
          <w:p w14:paraId="16CE4B80" w14:textId="77777777" w:rsidR="00306BCA" w:rsidRDefault="00000000">
            <w:r>
              <w:t>S3 storage</w:t>
            </w:r>
          </w:p>
        </w:tc>
        <w:tc>
          <w:tcPr>
            <w:tcW w:w="3200" w:type="dxa"/>
          </w:tcPr>
          <w:p w14:paraId="03332D31" w14:textId="77777777" w:rsidR="00306BCA" w:rsidRDefault="00000000">
            <w:r>
              <w:t>&lt; $0.10</w:t>
            </w:r>
          </w:p>
        </w:tc>
        <w:tc>
          <w:tcPr>
            <w:tcW w:w="3100" w:type="dxa"/>
          </w:tcPr>
          <w:p w14:paraId="5D597369" w14:textId="77777777" w:rsidR="00306BCA" w:rsidRDefault="00000000">
            <w:r>
              <w:t>JSON + Parquet across 3 sources, 7-day window</w:t>
            </w:r>
          </w:p>
        </w:tc>
      </w:tr>
      <w:tr w:rsidR="00306BCA" w14:paraId="3338E816" w14:textId="77777777">
        <w:tblPrEx>
          <w:tblCellMar>
            <w:top w:w="0" w:type="dxa"/>
            <w:bottom w:w="0" w:type="dxa"/>
          </w:tblCellMar>
        </w:tblPrEx>
        <w:tc>
          <w:tcPr>
            <w:tcW w:w="2200" w:type="dxa"/>
          </w:tcPr>
          <w:p w14:paraId="57955889" w14:textId="77777777" w:rsidR="00306BCA" w:rsidRDefault="00000000">
            <w:r>
              <w:t>Glue crawler / job</w:t>
            </w:r>
          </w:p>
        </w:tc>
        <w:tc>
          <w:tcPr>
            <w:tcW w:w="3200" w:type="dxa"/>
          </w:tcPr>
          <w:p w14:paraId="17726A3F" w14:textId="77777777" w:rsidR="00306BCA" w:rsidRDefault="00000000">
            <w:r>
              <w:t>Cents per run</w:t>
            </w:r>
          </w:p>
        </w:tc>
        <w:tc>
          <w:tcPr>
            <w:tcW w:w="3100" w:type="dxa"/>
          </w:tcPr>
          <w:p w14:paraId="1B62AAA3" w14:textId="77777777" w:rsidR="00306BCA" w:rsidRDefault="00000000">
            <w:r>
              <w:t>Scheduled, short-running</w:t>
            </w:r>
          </w:p>
        </w:tc>
      </w:tr>
      <w:tr w:rsidR="00306BCA" w14:paraId="78D72AC4" w14:textId="77777777">
        <w:tblPrEx>
          <w:tblCellMar>
            <w:top w:w="0" w:type="dxa"/>
            <w:bottom w:w="0" w:type="dxa"/>
          </w:tblCellMar>
        </w:tblPrEx>
        <w:tc>
          <w:tcPr>
            <w:tcW w:w="2200" w:type="dxa"/>
          </w:tcPr>
          <w:p w14:paraId="292C68AA" w14:textId="77777777" w:rsidR="00306BCA" w:rsidRDefault="00000000">
            <w:r>
              <w:t>Athena</w:t>
            </w:r>
          </w:p>
        </w:tc>
        <w:tc>
          <w:tcPr>
            <w:tcW w:w="3200" w:type="dxa"/>
          </w:tcPr>
          <w:p w14:paraId="27B7FEFA" w14:textId="77777777" w:rsidR="00306BCA" w:rsidRDefault="00000000">
            <w:r>
              <w:t>Fractions of a cent per query</w:t>
            </w:r>
          </w:p>
        </w:tc>
        <w:tc>
          <w:tcPr>
            <w:tcW w:w="3100" w:type="dxa"/>
          </w:tcPr>
          <w:p w14:paraId="58BD7FA8" w14:textId="77777777" w:rsidR="00306BCA" w:rsidRDefault="00000000">
            <w:r>
              <w:t>$5/TB scanned</w:t>
            </w:r>
          </w:p>
        </w:tc>
      </w:tr>
      <w:tr w:rsidR="00306BCA" w14:paraId="195002D7" w14:textId="77777777">
        <w:tblPrEx>
          <w:tblCellMar>
            <w:top w:w="0" w:type="dxa"/>
            <w:bottom w:w="0" w:type="dxa"/>
          </w:tblCellMar>
        </w:tblPrEx>
        <w:tc>
          <w:tcPr>
            <w:tcW w:w="2200" w:type="dxa"/>
          </w:tcPr>
          <w:p w14:paraId="7190A021" w14:textId="77777777" w:rsidR="00306BCA" w:rsidRDefault="00000000">
            <w:r>
              <w:t>QuickSight</w:t>
            </w:r>
          </w:p>
        </w:tc>
        <w:tc>
          <w:tcPr>
            <w:tcW w:w="3200" w:type="dxa"/>
          </w:tcPr>
          <w:p w14:paraId="545C06CD" w14:textId="77777777" w:rsidR="00306BCA" w:rsidRDefault="00000000">
            <w:r>
              <w:t>Author/reader seat(s)</w:t>
            </w:r>
          </w:p>
        </w:tc>
        <w:tc>
          <w:tcPr>
            <w:tcW w:w="3100" w:type="dxa"/>
          </w:tcPr>
          <w:p w14:paraId="697DC734" w14:textId="77777777" w:rsidR="00306BCA" w:rsidRDefault="00000000">
            <w:r>
              <w:t>Confirmed acceptable by SME — see Section 13</w:t>
            </w:r>
          </w:p>
        </w:tc>
      </w:tr>
      <w:tr w:rsidR="00306BCA" w14:paraId="6B21CA75" w14:textId="77777777">
        <w:tblPrEx>
          <w:tblCellMar>
            <w:top w:w="0" w:type="dxa"/>
            <w:bottom w:w="0" w:type="dxa"/>
          </w:tblCellMar>
        </w:tblPrEx>
        <w:tc>
          <w:tcPr>
            <w:tcW w:w="2200" w:type="dxa"/>
          </w:tcPr>
          <w:p w14:paraId="2D89A9A1" w14:textId="77777777" w:rsidR="00306BCA" w:rsidRDefault="00000000">
            <w:r>
              <w:t>Secrets Manager</w:t>
            </w:r>
          </w:p>
        </w:tc>
        <w:tc>
          <w:tcPr>
            <w:tcW w:w="3200" w:type="dxa"/>
          </w:tcPr>
          <w:p w14:paraId="153D4FD2" w14:textId="77777777" w:rsidR="00306BCA" w:rsidRDefault="00000000">
            <w:r>
              <w:t>~$0.80/mo</w:t>
            </w:r>
          </w:p>
        </w:tc>
        <w:tc>
          <w:tcPr>
            <w:tcW w:w="3100" w:type="dxa"/>
          </w:tcPr>
          <w:p w14:paraId="6C2BE5F5" w14:textId="77777777" w:rsidR="00306BCA" w:rsidRDefault="00000000">
            <w:r>
              <w:t>Two secrets: Wistia token, webhook signing secret(s)</w:t>
            </w:r>
          </w:p>
        </w:tc>
      </w:tr>
      <w:tr w:rsidR="00306BCA" w14:paraId="020141C7" w14:textId="77777777">
        <w:tblPrEx>
          <w:tblCellMar>
            <w:top w:w="0" w:type="dxa"/>
            <w:bottom w:w="0" w:type="dxa"/>
          </w:tblCellMar>
        </w:tblPrEx>
        <w:tc>
          <w:tcPr>
            <w:tcW w:w="2200" w:type="dxa"/>
          </w:tcPr>
          <w:p w14:paraId="0A60DE6C" w14:textId="77777777" w:rsidR="00306BCA" w:rsidRDefault="00000000">
            <w:r>
              <w:t>SSM Parameter Store</w:t>
            </w:r>
          </w:p>
        </w:tc>
        <w:tc>
          <w:tcPr>
            <w:tcW w:w="3200" w:type="dxa"/>
          </w:tcPr>
          <w:p w14:paraId="414188B6" w14:textId="77777777" w:rsidR="00306BCA" w:rsidRDefault="00000000">
            <w:r>
              <w:t>Free tier</w:t>
            </w:r>
          </w:p>
        </w:tc>
        <w:tc>
          <w:tcPr>
            <w:tcW w:w="3100" w:type="dxa"/>
          </w:tcPr>
          <w:p w14:paraId="0A267FCB" w14:textId="77777777" w:rsidR="00306BCA" w:rsidRDefault="00000000">
            <w:r>
              <w:t>One checkpoint parameter (Wistia)</w:t>
            </w:r>
          </w:p>
        </w:tc>
      </w:tr>
    </w:tbl>
    <w:p w14:paraId="05451729" w14:textId="77777777" w:rsidR="00306BCA" w:rsidRDefault="00000000">
      <w:pPr>
        <w:pStyle w:val="Heading1"/>
        <w:spacing w:before="300" w:after="150"/>
      </w:pPr>
      <w:r>
        <w:t>12. Alternatives Considered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000"/>
        <w:gridCol w:w="2700"/>
      </w:tblGrid>
      <w:tr w:rsidR="00306BCA" w14:paraId="4FA18B66" w14:textId="77777777">
        <w:tblPrEx>
          <w:tblCellMar>
            <w:top w:w="0" w:type="dxa"/>
            <w:bottom w:w="0" w:type="dxa"/>
          </w:tblCellMar>
        </w:tblPrEx>
        <w:tc>
          <w:tcPr>
            <w:tcW w:w="2000" w:type="dxa"/>
            <w:shd w:val="clear" w:color="auto" w:fill="D9D9D9"/>
          </w:tcPr>
          <w:p w14:paraId="46962549" w14:textId="77777777" w:rsidR="00306BCA" w:rsidRDefault="00000000">
            <w:r>
              <w:rPr>
                <w:b/>
                <w:bCs/>
              </w:rPr>
              <w:t>Layer</w:t>
            </w:r>
          </w:p>
        </w:tc>
        <w:tc>
          <w:tcPr>
            <w:tcW w:w="1900" w:type="dxa"/>
            <w:shd w:val="clear" w:color="auto" w:fill="D9D9D9"/>
          </w:tcPr>
          <w:p w14:paraId="0921447E" w14:textId="77777777" w:rsidR="00306BCA" w:rsidRDefault="00000000">
            <w:r>
              <w:rPr>
                <w:b/>
                <w:bCs/>
              </w:rPr>
              <w:t>Selected</w:t>
            </w:r>
          </w:p>
        </w:tc>
        <w:tc>
          <w:tcPr>
            <w:tcW w:w="2000" w:type="dxa"/>
            <w:shd w:val="clear" w:color="auto" w:fill="D9D9D9"/>
          </w:tcPr>
          <w:p w14:paraId="5C4D5E4D" w14:textId="77777777" w:rsidR="00306BCA" w:rsidRDefault="00000000">
            <w:r>
              <w:rPr>
                <w:b/>
                <w:bCs/>
              </w:rPr>
              <w:t>Alternative</w:t>
            </w:r>
          </w:p>
        </w:tc>
        <w:tc>
          <w:tcPr>
            <w:tcW w:w="2700" w:type="dxa"/>
            <w:shd w:val="clear" w:color="auto" w:fill="D9D9D9"/>
          </w:tcPr>
          <w:p w14:paraId="1F27A995" w14:textId="77777777" w:rsidR="00306BCA" w:rsidRDefault="00000000">
            <w:r>
              <w:rPr>
                <w:b/>
                <w:bCs/>
              </w:rPr>
              <w:t>Why not selected</w:t>
            </w:r>
          </w:p>
        </w:tc>
      </w:tr>
      <w:tr w:rsidR="00306BCA" w14:paraId="0A16BF0D" w14:textId="77777777">
        <w:tblPrEx>
          <w:tblCellMar>
            <w:top w:w="0" w:type="dxa"/>
            <w:bottom w:w="0" w:type="dxa"/>
          </w:tblCellMar>
        </w:tblPrEx>
        <w:tc>
          <w:tcPr>
            <w:tcW w:w="2000" w:type="dxa"/>
          </w:tcPr>
          <w:p w14:paraId="036DB2D5" w14:textId="77777777" w:rsidR="00306BCA" w:rsidRDefault="00000000">
            <w:r>
              <w:t>CRM delay mechanism</w:t>
            </w:r>
          </w:p>
        </w:tc>
        <w:tc>
          <w:tcPr>
            <w:tcW w:w="1900" w:type="dxa"/>
          </w:tcPr>
          <w:p w14:paraId="227242A3" w14:textId="77777777" w:rsidR="00306BCA" w:rsidRDefault="00000000">
            <w:r>
              <w:t>SQS delay queue</w:t>
            </w:r>
          </w:p>
        </w:tc>
        <w:tc>
          <w:tcPr>
            <w:tcW w:w="2000" w:type="dxa"/>
          </w:tcPr>
          <w:p w14:paraId="147335F8" w14:textId="77777777" w:rsidR="00306BCA" w:rsidRDefault="00000000">
            <w:r>
              <w:t>Step Functions state machine</w:t>
            </w:r>
          </w:p>
        </w:tc>
        <w:tc>
          <w:tcPr>
            <w:tcW w:w="2700" w:type="dxa"/>
          </w:tcPr>
          <w:p w14:paraId="22EA1AE6" w14:textId="77777777" w:rsidR="00306BCA" w:rsidRDefault="00000000">
            <w:r>
              <w:t>Step Functions was proposed for its native sequencing, per-state retry, execution-name idempotency, and execution-history observability. SME direction was explicit and specific to this flow: use the SQS delay-queue pattern named in the brief; Step Functions/EventBridge Scheduler are unnecessary absent a specific reason. Implemented per that guidance — idempotency and DLQ handling are built in code instead of inherited from the platform (Section 6, Section 13)</w:t>
            </w:r>
          </w:p>
        </w:tc>
      </w:tr>
      <w:tr w:rsidR="00306BCA" w14:paraId="7867DCEF" w14:textId="77777777">
        <w:tblPrEx>
          <w:tblCellMar>
            <w:top w:w="0" w:type="dxa"/>
            <w:bottom w:w="0" w:type="dxa"/>
          </w:tblCellMar>
        </w:tblPrEx>
        <w:tc>
          <w:tcPr>
            <w:tcW w:w="2000" w:type="dxa"/>
          </w:tcPr>
          <w:p w14:paraId="25AC12DE" w14:textId="77777777" w:rsidR="00306BCA" w:rsidRDefault="00000000">
            <w:r>
              <w:t>Data warehouse / query layer</w:t>
            </w:r>
          </w:p>
        </w:tc>
        <w:tc>
          <w:tcPr>
            <w:tcW w:w="1900" w:type="dxa"/>
          </w:tcPr>
          <w:p w14:paraId="555C8A84" w14:textId="77777777" w:rsidR="00306BCA" w:rsidRDefault="00000000">
            <w:r>
              <w:t>Glue Catalog + S3 + Athena</w:t>
            </w:r>
          </w:p>
        </w:tc>
        <w:tc>
          <w:tcPr>
            <w:tcW w:w="2000" w:type="dxa"/>
          </w:tcPr>
          <w:p w14:paraId="5A3AC8D0" w14:textId="77777777" w:rsidR="00306BCA" w:rsidRDefault="00000000">
            <w:r>
              <w:t>Redshift Serverless</w:t>
            </w:r>
          </w:p>
        </w:tc>
        <w:tc>
          <w:tcPr>
            <w:tcW w:w="2700" w:type="dxa"/>
          </w:tcPr>
          <w:p w14:paraId="1C36ABC1" w14:textId="77777777" w:rsidR="00306BCA" w:rsidRDefault="00000000">
            <w:r>
              <w:t>SME confirmed both are acceptable (Section 13). Lakehouse pattern retained: matches both prior capstones and avoids provisioning a cluster for a 7-day, low-volume workload, given dbt and Snowflake are both prohibited</w:t>
            </w:r>
          </w:p>
        </w:tc>
      </w:tr>
      <w:tr w:rsidR="00306BCA" w14:paraId="7414741B" w14:textId="77777777">
        <w:tblPrEx>
          <w:tblCellMar>
            <w:top w:w="0" w:type="dxa"/>
            <w:bottom w:w="0" w:type="dxa"/>
          </w:tblCellMar>
        </w:tblPrEx>
        <w:tc>
          <w:tcPr>
            <w:tcW w:w="2000" w:type="dxa"/>
          </w:tcPr>
          <w:p w14:paraId="4393A427" w14:textId="77777777" w:rsidR="00306BCA" w:rsidRDefault="00000000">
            <w:r>
              <w:t>Dashboard</w:t>
            </w:r>
          </w:p>
        </w:tc>
        <w:tc>
          <w:tcPr>
            <w:tcW w:w="1900" w:type="dxa"/>
          </w:tcPr>
          <w:p w14:paraId="120D323B" w14:textId="77777777" w:rsidR="00306BCA" w:rsidRDefault="00000000">
            <w:r>
              <w:t>QuickSight</w:t>
            </w:r>
          </w:p>
        </w:tc>
        <w:tc>
          <w:tcPr>
            <w:tcW w:w="2000" w:type="dxa"/>
          </w:tcPr>
          <w:p w14:paraId="1F4CAE8B" w14:textId="77777777" w:rsidR="00306BCA" w:rsidRDefault="00000000">
            <w:r>
              <w:t>Streamlit (as named in brief)</w:t>
            </w:r>
          </w:p>
        </w:tc>
        <w:tc>
          <w:tcPr>
            <w:tcW w:w="2700" w:type="dxa"/>
          </w:tcPr>
          <w:p w14:paraId="5BD0CB4F" w14:textId="77777777" w:rsidR="00306BCA" w:rsidRDefault="00000000">
            <w:r>
              <w:t>SME confirmed QuickSight is acceptable and Streamlit hosting is not mandatory (Section 13); QuickSight also matches precedent from the prior two capstones</w:t>
            </w:r>
          </w:p>
        </w:tc>
      </w:tr>
      <w:tr w:rsidR="00306BCA" w14:paraId="73A6D141" w14:textId="77777777">
        <w:tblPrEx>
          <w:tblCellMar>
            <w:top w:w="0" w:type="dxa"/>
            <w:bottom w:w="0" w:type="dxa"/>
          </w:tblCellMar>
        </w:tblPrEx>
        <w:tc>
          <w:tcPr>
            <w:tcW w:w="2000" w:type="dxa"/>
          </w:tcPr>
          <w:p w14:paraId="4FB72AEA" w14:textId="77777777" w:rsidR="00306BCA" w:rsidRDefault="00000000">
            <w:r>
              <w:t>Notification channel</w:t>
            </w:r>
          </w:p>
        </w:tc>
        <w:tc>
          <w:tcPr>
            <w:tcW w:w="1900" w:type="dxa"/>
          </w:tcPr>
          <w:p w14:paraId="40F63DA2" w14:textId="77777777" w:rsidR="00306BCA" w:rsidRDefault="00000000">
            <w:r>
              <w:t>Slack incoming webhook</w:t>
            </w:r>
          </w:p>
        </w:tc>
        <w:tc>
          <w:tcPr>
            <w:tcW w:w="2000" w:type="dxa"/>
          </w:tcPr>
          <w:p w14:paraId="41A73589" w14:textId="77777777" w:rsidR="00306BCA" w:rsidRDefault="00000000">
            <w:r>
              <w:t>SES email</w:t>
            </w:r>
          </w:p>
        </w:tc>
        <w:tc>
          <w:tcPr>
            <w:tcW w:w="2700" w:type="dxa"/>
          </w:tcPr>
          <w:p w14:paraId="46BD9FC3" w14:textId="77777777" w:rsidR="00306BCA" w:rsidRDefault="00000000">
            <w:r>
              <w:t>SME confirmed either is acceptable (Section 13); Slack setup has no domain-verification/sandbox overhead</w:t>
            </w:r>
          </w:p>
        </w:tc>
      </w:tr>
      <w:tr w:rsidR="00306BCA" w14:paraId="31BA73E4" w14:textId="77777777">
        <w:tblPrEx>
          <w:tblCellMar>
            <w:top w:w="0" w:type="dxa"/>
            <w:bottom w:w="0" w:type="dxa"/>
          </w:tblCellMar>
        </w:tblPrEx>
        <w:tc>
          <w:tcPr>
            <w:tcW w:w="2000" w:type="dxa"/>
          </w:tcPr>
          <w:p w14:paraId="61B6AD83" w14:textId="77777777" w:rsidR="00306BCA" w:rsidRDefault="00000000">
            <w:r>
              <w:lastRenderedPageBreak/>
              <w:t>Transform engine</w:t>
            </w:r>
          </w:p>
        </w:tc>
        <w:tc>
          <w:tcPr>
            <w:tcW w:w="1900" w:type="dxa"/>
          </w:tcPr>
          <w:p w14:paraId="382B6105" w14:textId="77777777" w:rsidR="00306BCA" w:rsidRDefault="00000000">
            <w:r>
              <w:t>Glue Python Shell (pandas)</w:t>
            </w:r>
          </w:p>
        </w:tc>
        <w:tc>
          <w:tcPr>
            <w:tcW w:w="2000" w:type="dxa"/>
          </w:tcPr>
          <w:p w14:paraId="7335BBE7" w14:textId="77777777" w:rsidR="00306BCA" w:rsidRDefault="00000000">
            <w:r>
              <w:t>Glue ETL (PySpark)</w:t>
            </w:r>
          </w:p>
        </w:tc>
        <w:tc>
          <w:tcPr>
            <w:tcW w:w="2700" w:type="dxa"/>
          </w:tcPr>
          <w:p w14:paraId="6F768ADF" w14:textId="77777777" w:rsidR="00306BCA" w:rsidRDefault="00000000">
            <w:r>
              <w:t>Default to pandas given expected data volume; revisit to PySpark if combined 7-day volume across all three sources is materially larger than the Healthcare Metrics precedent</w:t>
            </w:r>
          </w:p>
        </w:tc>
      </w:tr>
    </w:tbl>
    <w:p w14:paraId="58FCB470" w14:textId="77777777" w:rsidR="00306BCA" w:rsidRDefault="00000000">
      <w:pPr>
        <w:pStyle w:val="Heading1"/>
        <w:spacing w:before="300" w:after="150"/>
      </w:pPr>
      <w:r>
        <w:t>13. Resolved via SME Response (August 10, 2026)</w:t>
      </w:r>
    </w:p>
    <w:p w14:paraId="71A318E2" w14:textId="77777777" w:rsidR="00306BCA" w:rsidRDefault="00000000">
      <w:pPr>
        <w:spacing w:after="120"/>
      </w:pPr>
      <w:r>
        <w:rPr>
          <w:i/>
          <w:iCs/>
        </w:rPr>
        <w:t>Questions were sent to Avirup, Azmat, Ninad, and Kareem; a full response was received August 10, 2026 after 24+ hours and two follow-ups. Decisions below are now settled and reflected throughout this document rather than treated as assumptions.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2500"/>
      </w:tblGrid>
      <w:tr w:rsidR="00306BCA" w14:paraId="00A17B5C" w14:textId="77777777">
        <w:tblPrEx>
          <w:tblCellMar>
            <w:top w:w="0" w:type="dxa"/>
            <w:bottom w:w="0" w:type="dxa"/>
          </w:tblCellMar>
        </w:tblPrEx>
        <w:tc>
          <w:tcPr>
            <w:tcW w:w="1800" w:type="dxa"/>
            <w:shd w:val="clear" w:color="auto" w:fill="D9D9D9"/>
          </w:tcPr>
          <w:p w14:paraId="18FE7B08" w14:textId="77777777" w:rsidR="00306BCA" w:rsidRDefault="00000000">
            <w:r>
              <w:rPr>
                <w:b/>
                <w:bCs/>
              </w:rPr>
              <w:t>Topic</w:t>
            </w:r>
          </w:p>
        </w:tc>
        <w:tc>
          <w:tcPr>
            <w:tcW w:w="3300" w:type="dxa"/>
            <w:shd w:val="clear" w:color="auto" w:fill="D9D9D9"/>
          </w:tcPr>
          <w:p w14:paraId="75C2AF28" w14:textId="77777777" w:rsidR="00306BCA" w:rsidRDefault="00000000">
            <w:r>
              <w:rPr>
                <w:b/>
                <w:bCs/>
              </w:rPr>
              <w:t>SME response</w:t>
            </w:r>
          </w:p>
        </w:tc>
        <w:tc>
          <w:tcPr>
            <w:tcW w:w="2500" w:type="dxa"/>
            <w:shd w:val="clear" w:color="auto" w:fill="D9D9D9"/>
          </w:tcPr>
          <w:p w14:paraId="48C675C9" w14:textId="77777777" w:rsidR="00306BCA" w:rsidRDefault="00000000">
            <w:r>
              <w:rPr>
                <w:b/>
                <w:bCs/>
              </w:rPr>
              <w:t>Decision</w:t>
            </w:r>
          </w:p>
        </w:tc>
      </w:tr>
      <w:tr w:rsidR="00306BCA" w14:paraId="6BF8EEE6" w14:textId="77777777">
        <w:tblPrEx>
          <w:tblCellMar>
            <w:top w:w="0" w:type="dxa"/>
            <w:bottom w:w="0" w:type="dxa"/>
          </w:tblCellMar>
        </w:tblPrEx>
        <w:tc>
          <w:tcPr>
            <w:tcW w:w="1800" w:type="dxa"/>
          </w:tcPr>
          <w:p w14:paraId="4E063C02" w14:textId="77777777" w:rsidR="00306BCA" w:rsidRDefault="00000000">
            <w:r>
              <w:t>Cloud scope</w:t>
            </w:r>
          </w:p>
        </w:tc>
        <w:tc>
          <w:tcPr>
            <w:tcW w:w="3300" w:type="dxa"/>
          </w:tcPr>
          <w:p w14:paraId="6038EC6C" w14:textId="77777777" w:rsidR="00306BCA" w:rsidRDefault="00000000">
            <w:r>
              <w:t>Either AWS or Azure is acceptable</w:t>
            </w:r>
          </w:p>
        </w:tc>
        <w:tc>
          <w:tcPr>
            <w:tcW w:w="2500" w:type="dxa"/>
          </w:tcPr>
          <w:p w14:paraId="02D2CC6C" w14:textId="77777777" w:rsidR="00306BCA" w:rsidRDefault="00000000">
            <w:r>
              <w:t>AWS retained, consistent with existing stack and prior capstones</w:t>
            </w:r>
          </w:p>
        </w:tc>
      </w:tr>
      <w:tr w:rsidR="00306BCA" w14:paraId="7EB6F4DB" w14:textId="77777777">
        <w:tblPrEx>
          <w:tblCellMar>
            <w:top w:w="0" w:type="dxa"/>
            <w:bottom w:w="0" w:type="dxa"/>
          </w:tblCellMar>
        </w:tblPrEx>
        <w:tc>
          <w:tcPr>
            <w:tcW w:w="1800" w:type="dxa"/>
          </w:tcPr>
          <w:p w14:paraId="47F1D914" w14:textId="77777777" w:rsidR="00306BCA" w:rsidRDefault="00000000">
            <w:r>
              <w:t>Visualization</w:t>
            </w:r>
          </w:p>
        </w:tc>
        <w:tc>
          <w:tcPr>
            <w:tcW w:w="3300" w:type="dxa"/>
          </w:tcPr>
          <w:p w14:paraId="2421B7D9" w14:textId="77777777" w:rsidR="00306BCA" w:rsidRDefault="00000000">
            <w:r>
              <w:t>QuickSight is acceptable; Streamlit hosting is not mandatory</w:t>
            </w:r>
          </w:p>
        </w:tc>
        <w:tc>
          <w:tcPr>
            <w:tcW w:w="2500" w:type="dxa"/>
          </w:tcPr>
          <w:p w14:paraId="3C96C2AB" w14:textId="77777777" w:rsidR="00306BCA" w:rsidRDefault="00000000">
            <w:r>
              <w:t>QuickSight used</w:t>
            </w:r>
          </w:p>
        </w:tc>
      </w:tr>
      <w:tr w:rsidR="00306BCA" w14:paraId="65B060BE" w14:textId="77777777">
        <w:tblPrEx>
          <w:tblCellMar>
            <w:top w:w="0" w:type="dxa"/>
            <w:bottom w:w="0" w:type="dxa"/>
          </w:tblCellMar>
        </w:tblPrEx>
        <w:tc>
          <w:tcPr>
            <w:tcW w:w="1800" w:type="dxa"/>
          </w:tcPr>
          <w:p w14:paraId="4BDC747D" w14:textId="77777777" w:rsidR="00306BCA" w:rsidRDefault="00000000">
            <w:r>
              <w:t>Calendly real-time/batch</w:t>
            </w:r>
          </w:p>
        </w:tc>
        <w:tc>
          <w:tcPr>
            <w:tcW w:w="3300" w:type="dxa"/>
          </w:tcPr>
          <w:p w14:paraId="636DADDC" w14:textId="77777777" w:rsidR="00306BCA" w:rsidRDefault="00000000">
            <w:r>
              <w:t>Confirmed: webhook ingestion is real-time; downstream transform on daily data can be batch</w:t>
            </w:r>
          </w:p>
        </w:tc>
        <w:tc>
          <w:tcPr>
            <w:tcW w:w="2500" w:type="dxa"/>
          </w:tcPr>
          <w:p w14:paraId="01B3B195" w14:textId="77777777" w:rsidR="00306BCA" w:rsidRDefault="00000000">
            <w:r>
              <w:t>No change — design already matched this</w:t>
            </w:r>
          </w:p>
        </w:tc>
      </w:tr>
      <w:tr w:rsidR="00306BCA" w14:paraId="706D0473" w14:textId="77777777">
        <w:tblPrEx>
          <w:tblCellMar>
            <w:top w:w="0" w:type="dxa"/>
            <w:bottom w:w="0" w:type="dxa"/>
          </w:tblCellMar>
        </w:tblPrEx>
        <w:tc>
          <w:tcPr>
            <w:tcW w:w="1800" w:type="dxa"/>
          </w:tcPr>
          <w:p w14:paraId="3A7C3B08" w14:textId="77777777" w:rsidR="00306BCA" w:rsidRDefault="00000000">
            <w:r>
              <w:t>Webhook creation contact</w:t>
            </w:r>
          </w:p>
        </w:tc>
        <w:tc>
          <w:tcPr>
            <w:tcW w:w="3300" w:type="dxa"/>
          </w:tcPr>
          <w:p w14:paraId="4AF182DD" w14:textId="77777777" w:rsidR="00306BCA" w:rsidRDefault="00000000">
            <w:r>
              <w:t>Avirup will assist directly</w:t>
            </w:r>
          </w:p>
        </w:tc>
        <w:tc>
          <w:tcPr>
            <w:tcW w:w="2500" w:type="dxa"/>
          </w:tcPr>
          <w:p w14:paraId="2E3633C6" w14:textId="77777777" w:rsidR="00306BCA" w:rsidRDefault="00000000">
            <w:r>
              <w:t>Coordinate webhook setup with Avirup once endpoint URLs are ready</w:t>
            </w:r>
          </w:p>
        </w:tc>
      </w:tr>
      <w:tr w:rsidR="00306BCA" w14:paraId="4B280676" w14:textId="77777777">
        <w:tblPrEx>
          <w:tblCellMar>
            <w:top w:w="0" w:type="dxa"/>
            <w:bottom w:w="0" w:type="dxa"/>
          </w:tblCellMar>
        </w:tblPrEx>
        <w:tc>
          <w:tcPr>
            <w:tcW w:w="1800" w:type="dxa"/>
          </w:tcPr>
          <w:p w14:paraId="2150A198" w14:textId="77777777" w:rsidR="00306BCA" w:rsidRDefault="00000000">
            <w:r>
              <w:t>CRM delay mechanism</w:t>
            </w:r>
          </w:p>
        </w:tc>
        <w:tc>
          <w:tcPr>
            <w:tcW w:w="3300" w:type="dxa"/>
          </w:tcPr>
          <w:p w14:paraId="2D541AC3" w14:textId="77777777" w:rsidR="00306BCA" w:rsidRDefault="00000000">
            <w:r>
              <w:t>Use the SQS delay-queue pattern named in the brief; Step Functions/EventBridge Scheduler unnecessary absent a specific reason</w:t>
            </w:r>
          </w:p>
        </w:tc>
        <w:tc>
          <w:tcPr>
            <w:tcW w:w="2500" w:type="dxa"/>
          </w:tcPr>
          <w:p w14:paraId="0E937CD1" w14:textId="77777777" w:rsidR="00306BCA" w:rsidRDefault="00000000">
            <w:r>
              <w:t>SQS delay queue implemented per Section 6; Step Functions moved to Section 12 as a documented, not-implemented alternative</w:t>
            </w:r>
          </w:p>
        </w:tc>
      </w:tr>
      <w:tr w:rsidR="00306BCA" w14:paraId="5BB020EA" w14:textId="77777777">
        <w:tblPrEx>
          <w:tblCellMar>
            <w:top w:w="0" w:type="dxa"/>
            <w:bottom w:w="0" w:type="dxa"/>
          </w:tblCellMar>
        </w:tblPrEx>
        <w:tc>
          <w:tcPr>
            <w:tcW w:w="1800" w:type="dxa"/>
          </w:tcPr>
          <w:p w14:paraId="598CC0F8" w14:textId="77777777" w:rsidR="00306BCA" w:rsidRDefault="00000000">
            <w:r>
              <w:t>Notification channel</w:t>
            </w:r>
          </w:p>
        </w:tc>
        <w:tc>
          <w:tcPr>
            <w:tcW w:w="3300" w:type="dxa"/>
          </w:tcPr>
          <w:p w14:paraId="07D3DDB6" w14:textId="77777777" w:rsidR="00306BCA" w:rsidRDefault="00000000">
            <w:r>
              <w:t>Either Slack or email is acceptable</w:t>
            </w:r>
          </w:p>
        </w:tc>
        <w:tc>
          <w:tcPr>
            <w:tcW w:w="2500" w:type="dxa"/>
          </w:tcPr>
          <w:p w14:paraId="65ED4D02" w14:textId="77777777" w:rsidR="00306BCA" w:rsidRDefault="00000000">
            <w:r>
              <w:t>Slack retained</w:t>
            </w:r>
          </w:p>
        </w:tc>
      </w:tr>
      <w:tr w:rsidR="00306BCA" w14:paraId="21C08FDF" w14:textId="77777777">
        <w:tblPrEx>
          <w:tblCellMar>
            <w:top w:w="0" w:type="dxa"/>
            <w:bottom w:w="0" w:type="dxa"/>
          </w:tblCellMar>
        </w:tblPrEx>
        <w:tc>
          <w:tcPr>
            <w:tcW w:w="1800" w:type="dxa"/>
          </w:tcPr>
          <w:p w14:paraId="0EEB8D06" w14:textId="77777777" w:rsidR="00306BCA" w:rsidRDefault="00000000">
            <w:r>
              <w:t>Data warehouse</w:t>
            </w:r>
          </w:p>
        </w:tc>
        <w:tc>
          <w:tcPr>
            <w:tcW w:w="3300" w:type="dxa"/>
          </w:tcPr>
          <w:p w14:paraId="7D8DD4C0" w14:textId="77777777" w:rsidR="00306BCA" w:rsidRDefault="00000000">
            <w:r>
              <w:t>Redshift Serverless or S3 both acceptable</w:t>
            </w:r>
          </w:p>
        </w:tc>
        <w:tc>
          <w:tcPr>
            <w:tcW w:w="2500" w:type="dxa"/>
          </w:tcPr>
          <w:p w14:paraId="4527C515" w14:textId="77777777" w:rsidR="00306BCA" w:rsidRDefault="00000000">
            <w:r>
              <w:t>S3 + Glue Catalog + Athena (lakehouse) retained</w:t>
            </w:r>
          </w:p>
        </w:tc>
      </w:tr>
      <w:tr w:rsidR="00306BCA" w14:paraId="7EA6AD95" w14:textId="77777777">
        <w:tblPrEx>
          <w:tblCellMar>
            <w:top w:w="0" w:type="dxa"/>
            <w:bottom w:w="0" w:type="dxa"/>
          </w:tblCellMar>
        </w:tblPrEx>
        <w:tc>
          <w:tcPr>
            <w:tcW w:w="1800" w:type="dxa"/>
          </w:tcPr>
          <w:p w14:paraId="735C1E4C" w14:textId="77777777" w:rsidR="00306BCA" w:rsidRDefault="00000000">
            <w:r>
              <w:t>Wistia media scope</w:t>
            </w:r>
          </w:p>
        </w:tc>
        <w:tc>
          <w:tcPr>
            <w:tcW w:w="3300" w:type="dxa"/>
          </w:tcPr>
          <w:p w14:paraId="300343F8" w14:textId="77777777" w:rsidR="00306BCA" w:rsidRDefault="00000000">
            <w:r>
              <w:t>Use the two given media IDs; dynamic discovery not required</w:t>
            </w:r>
          </w:p>
        </w:tc>
        <w:tc>
          <w:tcPr>
            <w:tcW w:w="2500" w:type="dxa"/>
          </w:tcPr>
          <w:p w14:paraId="08534C67" w14:textId="77777777" w:rsidR="00306BCA" w:rsidRDefault="00000000">
            <w:r>
              <w:t>No change — design already matched this</w:t>
            </w:r>
          </w:p>
        </w:tc>
      </w:tr>
      <w:tr w:rsidR="00306BCA" w14:paraId="57885E4E" w14:textId="77777777">
        <w:tblPrEx>
          <w:tblCellMar>
            <w:top w:w="0" w:type="dxa"/>
            <w:bottom w:w="0" w:type="dxa"/>
          </w:tblCellMar>
        </w:tblPrEx>
        <w:tc>
          <w:tcPr>
            <w:tcW w:w="1800" w:type="dxa"/>
          </w:tcPr>
          <w:p w14:paraId="5B5E26BC" w14:textId="77777777" w:rsidR="00306BCA" w:rsidRDefault="00000000">
            <w:r>
              <w:t>Wistia token handling</w:t>
            </w:r>
          </w:p>
        </w:tc>
        <w:tc>
          <w:tcPr>
            <w:tcW w:w="3300" w:type="dxa"/>
          </w:tcPr>
          <w:p w14:paraId="4600F302" w14:textId="77777777" w:rsidR="00306BCA" w:rsidRDefault="00000000">
            <w:r>
              <w:t>Store in Secrets Manager; never hardcode or push to GitHub</w:t>
            </w:r>
          </w:p>
        </w:tc>
        <w:tc>
          <w:tcPr>
            <w:tcW w:w="2500" w:type="dxa"/>
          </w:tcPr>
          <w:p w14:paraId="2D775F1B" w14:textId="77777777" w:rsidR="00306BCA" w:rsidRDefault="00000000">
            <w:r>
              <w:t>No change — design already matched this</w:t>
            </w:r>
          </w:p>
        </w:tc>
      </w:tr>
      <w:tr w:rsidR="00306BCA" w14:paraId="5DD86F4C" w14:textId="77777777">
        <w:tblPrEx>
          <w:tblCellMar>
            <w:top w:w="0" w:type="dxa"/>
            <w:bottom w:w="0" w:type="dxa"/>
          </w:tblCellMar>
        </w:tblPrEx>
        <w:tc>
          <w:tcPr>
            <w:tcW w:w="1800" w:type="dxa"/>
          </w:tcPr>
          <w:p w14:paraId="2596CBD3" w14:textId="77777777" w:rsidR="00306BCA" w:rsidRDefault="00000000">
            <w:r>
              <w:t>dea-lead-owner lookup</w:t>
            </w:r>
          </w:p>
        </w:tc>
        <w:tc>
          <w:tcPr>
            <w:tcW w:w="3300" w:type="dxa"/>
          </w:tcPr>
          <w:p w14:paraId="2516304D" w14:textId="77777777" w:rsidR="00306BCA" w:rsidRDefault="00000000">
            <w:r>
              <w:t>Use the public URL pattern given; data is one-day-back (T-1); lookup by lead_id once webhook exists</w:t>
            </w:r>
          </w:p>
        </w:tc>
        <w:tc>
          <w:tcPr>
            <w:tcW w:w="2500" w:type="dxa"/>
          </w:tcPr>
          <w:p w14:paraId="5F47BADC" w14:textId="77777777" w:rsidR="00306BCA" w:rsidRDefault="00000000">
            <w:r>
              <w:t>Lookup implemented as specified; missing/stale owner on a given lead is treated as a valid outcome, not an error (Section 6)</w:t>
            </w:r>
          </w:p>
        </w:tc>
      </w:tr>
      <w:tr w:rsidR="00306BCA" w14:paraId="6CC2C4B8" w14:textId="77777777">
        <w:tblPrEx>
          <w:tblCellMar>
            <w:top w:w="0" w:type="dxa"/>
            <w:bottom w:w="0" w:type="dxa"/>
          </w:tblCellMar>
        </w:tblPrEx>
        <w:tc>
          <w:tcPr>
            <w:tcW w:w="1800" w:type="dxa"/>
          </w:tcPr>
          <w:p w14:paraId="5332AD98" w14:textId="77777777" w:rsidR="00306BCA" w:rsidRDefault="00000000">
            <w:r>
              <w:t>CI/CD</w:t>
            </w:r>
          </w:p>
        </w:tc>
        <w:tc>
          <w:tcPr>
            <w:tcW w:w="3300" w:type="dxa"/>
          </w:tcPr>
          <w:p w14:paraId="5A3A8B24" w14:textId="77777777" w:rsidR="00306BCA" w:rsidRDefault="00000000">
            <w:r>
              <w:t>GitHub Actions acceptable; minimum bar is a working workflow for deployable components (Lambda/Glue); any CI/CD tool is acceptable</w:t>
            </w:r>
          </w:p>
        </w:tc>
        <w:tc>
          <w:tcPr>
            <w:tcW w:w="2500" w:type="dxa"/>
          </w:tcPr>
          <w:p w14:paraId="12F8C5A3" w14:textId="77777777" w:rsidR="00306BCA" w:rsidRDefault="00000000">
            <w:r>
              <w:t>GitHub Actions with OIDC federation retained</w:t>
            </w:r>
          </w:p>
        </w:tc>
      </w:tr>
    </w:tbl>
    <w:p w14:paraId="0701C421" w14:textId="77777777" w:rsidR="00306BCA" w:rsidRDefault="00000000">
      <w:pPr>
        <w:pStyle w:val="Heading1"/>
        <w:spacing w:before="300" w:after="150"/>
      </w:pPr>
      <w:r>
        <w:t>14. Open Items — Still Pending SME Confirmation</w:t>
      </w:r>
    </w:p>
    <w:p w14:paraId="69CDCE13" w14:textId="77777777" w:rsidR="00306BCA" w:rsidRDefault="00000000">
      <w:pPr>
        <w:spacing w:after="120"/>
      </w:pPr>
      <w:r>
        <w:rPr>
          <w:i/>
          <w:iCs/>
        </w:rPr>
        <w:t>The items below were not addressed in the SME response received August 10, 2026, and remain open. Each is a reversible decision that does not block starting implementation.</w:t>
      </w:r>
    </w:p>
    <w:p w14:paraId="17678F90" w14:textId="77777777" w:rsidR="00306BCA" w:rsidRDefault="00000000">
      <w:pPr>
        <w:pStyle w:val="ListParagraph"/>
        <w:numPr>
          <w:ilvl w:val="0"/>
          <w:numId w:val="1"/>
        </w:numPr>
        <w:spacing w:after="80"/>
      </w:pPr>
      <w:r>
        <w:t>1. “Operational for 7 consecutive days”: assuming this means continuous webhook availability plus reliable scheduled batch runs, not a specific SLA metric — satisfied by this design either way.</w:t>
      </w:r>
    </w:p>
    <w:p w14:paraId="7AFB46EC" w14:textId="77777777" w:rsidR="00306BCA" w:rsidRDefault="00000000">
      <w:pPr>
        <w:pStyle w:val="ListParagraph"/>
        <w:numPr>
          <w:ilvl w:val="0"/>
          <w:numId w:val="1"/>
        </w:numPr>
        <w:spacing w:after="80"/>
      </w:pPr>
      <w:r>
        <w:t>2. Fault-tolerance demonstration: assuming standard idempotency/retry/DLQ practice, documented in this design, is sufficient without a live induced-failure demo unless requested.</w:t>
      </w:r>
    </w:p>
    <w:p w14:paraId="14DCD41B" w14:textId="77777777" w:rsidR="00306BCA" w:rsidRDefault="00000000">
      <w:pPr>
        <w:pStyle w:val="ListParagraph"/>
        <w:numPr>
          <w:ilvl w:val="0"/>
          <w:numId w:val="1"/>
        </w:numPr>
        <w:spacing w:after="80"/>
      </w:pPr>
      <w:r>
        <w:lastRenderedPageBreak/>
        <w:t>3. Cross-source correlation grain: assuming channel_performance_summary (channel + date) is the correct interpretation of “find relevance between marketing efforts, video visitor analysis, and new lead generation,” since no person-level key connects Wistia to CRM or Calendly.</w:t>
      </w:r>
    </w:p>
    <w:p w14:paraId="76C1D9C3" w14:textId="77777777" w:rsidR="00306BCA" w:rsidRDefault="00000000">
      <w:pPr>
        <w:pStyle w:val="ListParagraph"/>
        <w:numPr>
          <w:ilvl w:val="0"/>
          <w:numId w:val="1"/>
        </w:numPr>
        <w:spacing w:after="80"/>
      </w:pPr>
      <w:r>
        <w:t>4. Funnel scope / closing metric: the brief's stated CRM scope covers lead creation and ownership updates only — no deal-closed/enrolled event or won-stage tracking is requested. Assuming top-of-funnel (spend → engagement → lead → booked call) is the intended full scope, and that marketing-spend ROI is measured against cost-per-lead/cost-per-booking rather than cost-per-close, since no revenue signal is in scope.</w:t>
      </w:r>
    </w:p>
    <w:p w14:paraId="05CBF266" w14:textId="77777777" w:rsidR="00306BCA" w:rsidRDefault="00000000">
      <w:pPr>
        <w:pStyle w:val="ListParagraph"/>
        <w:numPr>
          <w:ilvl w:val="0"/>
          <w:numId w:val="1"/>
        </w:numPr>
        <w:spacing w:after="80"/>
      </w:pPr>
      <w:r>
        <w:t>5. Channel taxonomy alignment: the CRM lead's funnel custom field (e.g. “YT DE ACADEMY Direct VSL”) and Calendly's channel/event_type values (e.g. “youtube_paid_ads”) appear to represent the same underlying campaigns under different naming schemes. Assuming these are not directly joinable without a mapping table; channel_performance_summary correlates by date and coarse channel category (Facebook/YouTube/TikTok) rather than assuming an exact string match between the two fields.</w:t>
      </w:r>
    </w:p>
    <w:p w14:paraId="7C1EDD89" w14:textId="77777777" w:rsidR="00306BCA" w:rsidRDefault="00000000">
      <w:pPr>
        <w:pStyle w:val="Heading1"/>
        <w:spacing w:before="300" w:after="150"/>
      </w:pPr>
      <w:r>
        <w:t>15. Next Steps</w:t>
      </w:r>
    </w:p>
    <w:p w14:paraId="4725D099" w14:textId="77777777" w:rsidR="00306BCA" w:rsidRDefault="00000000">
      <w:pPr>
        <w:pStyle w:val="ListParagraph"/>
        <w:numPr>
          <w:ilvl w:val="0"/>
          <w:numId w:val="1"/>
        </w:numPr>
        <w:spacing w:after="80"/>
      </w:pPr>
      <w:r>
        <w:t>Provision the two API Gateway endpoints (CRM, Calendly) and the CRM webhook + consumer Lambda functions.</w:t>
      </w:r>
    </w:p>
    <w:p w14:paraId="10C052EE" w14:textId="77777777" w:rsidR="00306BCA" w:rsidRDefault="00000000">
      <w:pPr>
        <w:pStyle w:val="ListParagraph"/>
        <w:numPr>
          <w:ilvl w:val="0"/>
          <w:numId w:val="1"/>
        </w:numPr>
        <w:spacing w:after="80"/>
      </w:pPr>
      <w:r>
        <w:t>Foundation infrastructure deployed (S3 bucket, IAM roles, SQS delay queue + DLQ, placeholder secrets) via infrastructure/foundation.yaml — verified against the stack's Outputs and each console on August 10, 2026.</w:t>
      </w:r>
    </w:p>
    <w:p w14:paraId="3D3A23AB" w14:textId="77777777" w:rsidR="00306BCA" w:rsidRDefault="00000000">
      <w:pPr>
        <w:pStyle w:val="ListParagraph"/>
        <w:numPr>
          <w:ilvl w:val="0"/>
          <w:numId w:val="1"/>
        </w:numPr>
        <w:spacing w:after="80"/>
      </w:pPr>
      <w:r>
        <w:t>Coordinate with Avirup on webhook creation for Close and Calendly once endpoint URLs are ready.</w:t>
      </w:r>
    </w:p>
    <w:p w14:paraId="7A771B3A" w14:textId="77777777" w:rsidR="00306BCA" w:rsidRDefault="00000000">
      <w:pPr>
        <w:pStyle w:val="ListParagraph"/>
        <w:numPr>
          <w:ilvl w:val="0"/>
          <w:numId w:val="1"/>
        </w:numPr>
        <w:spacing w:after="80"/>
      </w:pPr>
      <w:r>
        <w:t>Build and test the CRM SQS-based flow end-to-end against a small subset of synthetic lead events before enabling the live Close webhook — including a deliberate DLQ/failure test to validate the fault-tolerance mechanism.</w:t>
      </w:r>
    </w:p>
    <w:p w14:paraId="465C848B" w14:textId="77777777" w:rsidR="00306BCA" w:rsidRDefault="00000000">
      <w:pPr>
        <w:pStyle w:val="ListParagraph"/>
        <w:numPr>
          <w:ilvl w:val="0"/>
          <w:numId w:val="1"/>
        </w:numPr>
        <w:spacing w:after="80"/>
      </w:pPr>
      <w:r>
        <w:t>Stand up the Wistia and Calendly-spend scheduled pulls; validate incremental watermarking.</w:t>
      </w:r>
    </w:p>
    <w:p w14:paraId="6655A7BA" w14:textId="77777777" w:rsidR="00306BCA" w:rsidRDefault="00000000">
      <w:pPr>
        <w:pStyle w:val="ListParagraph"/>
        <w:numPr>
          <w:ilvl w:val="0"/>
          <w:numId w:val="1"/>
        </w:numPr>
        <w:spacing w:after="80"/>
      </w:pPr>
      <w:r>
        <w:t>Begin the 7-day operational window only after the ingestion layer is validated for all three sources.</w:t>
      </w:r>
    </w:p>
    <w:p w14:paraId="7F108599" w14:textId="77777777" w:rsidR="00306BCA" w:rsidRDefault="00000000">
      <w:pPr>
        <w:pStyle w:val="ListParagraph"/>
        <w:numPr>
          <w:ilvl w:val="0"/>
          <w:numId w:val="1"/>
        </w:numPr>
        <w:spacing w:after="80"/>
      </w:pPr>
      <w:r>
        <w:t>Raise the five remaining open items (Section 14) with the SMEs as a follow-up, separate from implementation start.</w:t>
      </w:r>
    </w:p>
    <w:sectPr w:rsidR="00306B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85"/>
    <w:multiLevelType w:val="hybridMultilevel"/>
    <w:tmpl w:val="ADD45296"/>
    <w:lvl w:ilvl="0" w:tplc="9A5E9378">
      <w:start w:val="1"/>
      <w:numFmt w:val="bullet"/>
      <w:lvlText w:val="●"/>
      <w:lvlJc w:val="left"/>
      <w:pPr>
        <w:ind w:left="720" w:hanging="360"/>
      </w:pPr>
    </w:lvl>
    <w:lvl w:ilvl="1" w:tplc="D7D0E8E8">
      <w:start w:val="1"/>
      <w:numFmt w:val="bullet"/>
      <w:lvlText w:val="○"/>
      <w:lvlJc w:val="left"/>
      <w:pPr>
        <w:ind w:left="1440" w:hanging="360"/>
      </w:pPr>
    </w:lvl>
    <w:lvl w:ilvl="2" w:tplc="AAD88E10">
      <w:start w:val="1"/>
      <w:numFmt w:val="bullet"/>
      <w:lvlText w:val="■"/>
      <w:lvlJc w:val="left"/>
      <w:pPr>
        <w:ind w:left="2160" w:hanging="360"/>
      </w:pPr>
    </w:lvl>
    <w:lvl w:ilvl="3" w:tplc="84DEE1F8">
      <w:start w:val="1"/>
      <w:numFmt w:val="bullet"/>
      <w:lvlText w:val="●"/>
      <w:lvlJc w:val="left"/>
      <w:pPr>
        <w:ind w:left="2880" w:hanging="360"/>
      </w:pPr>
    </w:lvl>
    <w:lvl w:ilvl="4" w:tplc="92624F6C">
      <w:start w:val="1"/>
      <w:numFmt w:val="bullet"/>
      <w:lvlText w:val="○"/>
      <w:lvlJc w:val="left"/>
      <w:pPr>
        <w:ind w:left="3600" w:hanging="360"/>
      </w:pPr>
    </w:lvl>
    <w:lvl w:ilvl="5" w:tplc="37647BA6">
      <w:start w:val="1"/>
      <w:numFmt w:val="bullet"/>
      <w:lvlText w:val="■"/>
      <w:lvlJc w:val="left"/>
      <w:pPr>
        <w:ind w:left="4320" w:hanging="360"/>
      </w:pPr>
    </w:lvl>
    <w:lvl w:ilvl="6" w:tplc="F706509C">
      <w:start w:val="1"/>
      <w:numFmt w:val="bullet"/>
      <w:lvlText w:val="●"/>
      <w:lvlJc w:val="left"/>
      <w:pPr>
        <w:ind w:left="5040" w:hanging="360"/>
      </w:pPr>
    </w:lvl>
    <w:lvl w:ilvl="7" w:tplc="CA3AC48C">
      <w:start w:val="1"/>
      <w:numFmt w:val="bullet"/>
      <w:lvlText w:val="●"/>
      <w:lvlJc w:val="left"/>
      <w:pPr>
        <w:ind w:left="5760" w:hanging="360"/>
      </w:pPr>
    </w:lvl>
    <w:lvl w:ilvl="8" w:tplc="C670433E">
      <w:start w:val="1"/>
      <w:numFmt w:val="bullet"/>
      <w:lvlText w:val="●"/>
      <w:lvlJc w:val="left"/>
      <w:pPr>
        <w:ind w:left="6480" w:hanging="360"/>
      </w:pPr>
    </w:lvl>
  </w:abstractNum>
  <w:abstractNum w:abstractNumId="1" w15:restartNumberingAfterBreak="0">
    <w:nsid w:val="1060574B"/>
    <w:multiLevelType w:val="hybridMultilevel"/>
    <w:tmpl w:val="22B4DBDE"/>
    <w:lvl w:ilvl="0" w:tplc="6F8831BE">
      <w:start w:val="1"/>
      <w:numFmt w:val="bullet"/>
      <w:lvlText w:val="•"/>
      <w:lvlJc w:val="left"/>
    </w:lvl>
    <w:lvl w:ilvl="1" w:tplc="BEC8A6E8">
      <w:numFmt w:val="decimal"/>
      <w:lvlText w:val=""/>
      <w:lvlJc w:val="left"/>
    </w:lvl>
    <w:lvl w:ilvl="2" w:tplc="B9C2E0E8">
      <w:numFmt w:val="decimal"/>
      <w:lvlText w:val=""/>
      <w:lvlJc w:val="left"/>
    </w:lvl>
    <w:lvl w:ilvl="3" w:tplc="AF7CA2BA">
      <w:numFmt w:val="decimal"/>
      <w:lvlText w:val=""/>
      <w:lvlJc w:val="left"/>
    </w:lvl>
    <w:lvl w:ilvl="4" w:tplc="36EC42F4">
      <w:numFmt w:val="decimal"/>
      <w:lvlText w:val=""/>
      <w:lvlJc w:val="left"/>
    </w:lvl>
    <w:lvl w:ilvl="5" w:tplc="FC3ADC30">
      <w:numFmt w:val="decimal"/>
      <w:lvlText w:val=""/>
      <w:lvlJc w:val="left"/>
    </w:lvl>
    <w:lvl w:ilvl="6" w:tplc="985C6FFA">
      <w:numFmt w:val="decimal"/>
      <w:lvlText w:val=""/>
      <w:lvlJc w:val="left"/>
    </w:lvl>
    <w:lvl w:ilvl="7" w:tplc="5080D51A">
      <w:numFmt w:val="decimal"/>
      <w:lvlText w:val=""/>
      <w:lvlJc w:val="left"/>
    </w:lvl>
    <w:lvl w:ilvl="8" w:tplc="FB383DFC">
      <w:numFmt w:val="decimal"/>
      <w:lvlText w:val=""/>
      <w:lvlJc w:val="left"/>
    </w:lvl>
  </w:abstractNum>
  <w:num w:numId="1" w16cid:durableId="2142577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BCA"/>
    <w:rsid w:val="00132413"/>
    <w:rsid w:val="00142368"/>
    <w:rsid w:val="00306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A1C6"/>
  <w15:docId w15:val="{20928ACE-AA39-408B-9037-4F4B8DC9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3537</Words>
  <Characters>20165</Characters>
  <Application>Microsoft Office Word</Application>
  <DocSecurity>0</DocSecurity>
  <Lines>168</Lines>
  <Paragraphs>47</Paragraphs>
  <ScaleCrop>false</ScaleCrop>
  <Company/>
  <LinksUpToDate>false</LinksUpToDate>
  <CharactersWithSpaces>23655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 Knighton</cp:lastModifiedBy>
  <cp:revision>2</cp:revision>
  <dcterms:created xsi:type="dcterms:W3CDTF">2026-08-10T15:01:00Z</dcterms:created>
  <dcterms:modified xsi:type="dcterms:W3CDTF">2026-08-10T16:56:00Z</dcterms:modified>
</cp:coreProperties>
</file>