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Sales Analytics Pipeline Project</w:t>
      </w:r>
    </w:p>
    <w:p>
      <w:pPr>
        <w:spacing w:after="200"/>
      </w:pPr>
      <w:r>
        <w:rPr>
          <w:sz w:val="28"/>
          <w:szCs w:val="28"/>
        </w:rPr>
        <w:t xml:space="preserve">Solution Design Document</w:t>
      </w:r>
    </w:p>
    <w:p>
      <w:pPr>
        <w:spacing w:after="400"/>
      </w:pPr>
      <w:r>
        <w:rPr>
          <w:i/>
          <w:iCs/>
          <w:sz w:val="20"/>
          <w:szCs w:val="20"/>
        </w:rPr>
        <w:t xml:space="preserve">Prepared for SME review  •  Status: Revision 2 — incorporates SME feedback on reporting tool (Section 5) and monitoring/error handling (Section 6)  •  Stack: Snowflake-native (per project requirement, no Spark/PySpark/Databricks/dbt)</w:t>
      </w:r>
    </w:p>
    <w:p>
      <w:pPr>
        <w:pStyle w:val="Heading1"/>
        <w:spacing w:after="150" w:before="300"/>
      </w:pPr>
      <w:r>
        <w:t xml:space="preserve">1. Project Overview</w:t>
      </w:r>
    </w:p>
    <w:p>
      <w:pPr>
        <w:spacing w:after="160"/>
      </w:pPr>
      <w:r>
        <w:t xml:space="preserve">This project builds an automated analytics pipeline that ingests raw CRM activity data — stored as JSON — from a PostgreSQL source, and transforms it through a Bronze → Silver → Gold medallion architecture in Snowflake to produce four business-facing KPI reports: Inbound Setter, Outbound Setter, Closer, and Objections Faced. The business currently has no unified reporting layer for inbound/outbound sales performance; activity data uses internal IDs instead of readable outcome names, and lead lifecycle tracking is fragmented across raw JSON exports.</w:t>
      </w:r>
    </w:p>
    <w:p>
      <w:pPr>
        <w:spacing w:after="160"/>
      </w:pPr>
      <w:r>
        <w:t xml:space="preserve">Per project requirements, the transformation pipeline must be built exclusively within Snowflake, with no use of Spark, PySpark, Databricks, or dbt. This constraint governs the transformation engine specifically (Bronze → Silver → Gold); it does not by itself determine the extraction mechanism or the reporting/delivery layer, both of which are addressed as open items below.</w:t>
      </w:r>
    </w:p>
    <w:p>
      <w:pPr>
        <w:pStyle w:val="Heading1"/>
        <w:spacing w:after="150" w:before="300"/>
      </w:pPr>
      <w:r>
        <w:t xml:space="preserve">2. Data Sources &amp; Scope</w:t>
      </w:r>
    </w:p>
    <w:p>
      <w:pPr>
        <w:spacing w:after="160"/>
      </w:pPr>
      <w:r>
        <w:t xml:space="preserve">Source system: PostgreSQL RDS instance (dea_analytics_dev). Direct inspection during requirements analysis found two schemas containing near-identical table names — raw and sales_raw — with materially different row counts and one table present only in sales_raw. This design proceeds on sales_raw as the correct source schema; see Open Item #1 for the full reasoning and evidence.</w:t>
      </w:r>
    </w:p>
    <w:p>
      <w:pPr>
        <w:pStyle w:val="Heading2"/>
        <w:spacing w:after="120" w:before="240"/>
      </w:pPr>
      <w:r>
        <w:t xml:space="preserve">2.1 Confirmed Source Tables (sales_raw schema)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shd w:fill="D9D9D9" w:val="clear"/>
          </w:tcPr>
          <w:p>
            <w:r>
              <w:rPr>
                <w:b/>
                <w:bCs/>
                <w:sz w:val="20"/>
                <w:szCs w:val="20"/>
              </w:rPr>
              <w:t xml:space="preserve">Table</w:t>
            </w:r>
          </w:p>
        </w:tc>
        <w:tc>
          <w:tcPr>
            <w:tcW w:type="dxa" w:w="2400"/>
            <w:shd w:fill="D9D9D9" w:val="clear"/>
          </w:tcPr>
          <w:p>
            <w:r>
              <w:rPr>
                <w:b/>
                <w:bCs/>
                <w:sz w:val="20"/>
                <w:szCs w:val="20"/>
              </w:rPr>
              <w:t xml:space="preserve">Approx. Row Count</w:t>
            </w:r>
          </w:p>
        </w:tc>
        <w:tc>
          <w:tcPr>
            <w:tcW w:type="dxa" w:w="3360"/>
            <w:shd w:fill="D9D9D9" w:val="clear"/>
          </w:tcPr>
          <w:p>
            <w:r>
              <w:rPr>
                <w:b/>
                <w:bCs/>
                <w:sz w:val="20"/>
                <w:szCs w:val="20"/>
              </w:rPr>
              <w:t xml:space="preserve">Structure</w:t>
            </w:r>
          </w:p>
        </w:tc>
      </w:tr>
      <w:tr>
        <w:tc>
          <w:tcPr>
            <w:tcW w:type="dxa" w:w="3600"/>
          </w:tcPr>
          <w:p>
            <w:r>
              <w:rPr>
                <w:sz w:val="20"/>
                <w:szCs w:val="20"/>
              </w:rPr>
              <w:t xml:space="preserve">lead_activites_raw</w:t>
            </w:r>
          </w:p>
        </w:tc>
        <w:tc>
          <w:tcPr>
            <w:tcW w:type="dxa" w:w="2400"/>
          </w:tcPr>
          <w:p>
            <w:r>
              <w:rPr>
                <w:sz w:val="20"/>
                <w:szCs w:val="20"/>
              </w:rPr>
              <w:t xml:space="preserve">~194,000+ (growing daily)</w:t>
            </w:r>
          </w:p>
        </w:tc>
        <w:tc>
          <w:tcPr>
            <w:tcW w:type="dxa" w:w="3360"/>
          </w:tcPr>
          <w:p>
            <w:r>
              <w:rPr>
                <w:sz w:val="20"/>
                <w:szCs w:val="20"/>
              </w:rPr>
              <w:t xml:space="preserve">Clean nested jsonb; raw_data column holds {data: [...]} directly, no repair needed</w:t>
            </w:r>
          </w:p>
        </w:tc>
      </w:tr>
      <w:tr>
        <w:tc>
          <w:tcPr>
            <w:tcW w:type="dxa" w:w="3600"/>
          </w:tcPr>
          <w:p>
            <w:r>
              <w:rPr>
                <w:sz w:val="20"/>
                <w:szCs w:val="20"/>
              </w:rPr>
              <w:t xml:space="preserve">custom_activites_raw</w:t>
            </w:r>
          </w:p>
        </w:tc>
        <w:tc>
          <w:tcPr>
            <w:tcW w:type="dxa" w:w="2400"/>
          </w:tcPr>
          <w:p>
            <w:r>
              <w:rPr>
                <w:sz w:val="20"/>
                <w:szCs w:val="20"/>
              </w:rPr>
              <w:t xml:space="preserve">28</w:t>
            </w:r>
          </w:p>
        </w:tc>
        <w:tc>
          <w:tcPr>
            <w:tcW w:type="dxa" w:w="3360"/>
          </w:tcPr>
          <w:p>
            <w:r>
              <w:rPr>
                <w:sz w:val="20"/>
                <w:szCs w:val="20"/>
              </w:rPr>
              <w:t xml:space="preserve">raw_data column holds {INSERT_DATE, JSON_OBJECT}; JSON_OBJECT is a malformed single-quoted string requiring repair</w:t>
            </w:r>
          </w:p>
        </w:tc>
      </w:tr>
      <w:tr>
        <w:tc>
          <w:tcPr>
            <w:tcW w:type="dxa" w:w="3600"/>
          </w:tcPr>
          <w:p>
            <w:r>
              <w:rPr>
                <w:sz w:val="20"/>
                <w:szCs w:val="20"/>
              </w:rPr>
              <w:t xml:space="preserve">close_crm_users_raw</w:t>
            </w:r>
          </w:p>
        </w:tc>
        <w:tc>
          <w:tcPr>
            <w:tcW w:type="dxa" w:w="2400"/>
          </w:tcPr>
          <w:p>
            <w:r>
              <w:rPr>
                <w:sz w:val="20"/>
                <w:szCs w:val="20"/>
              </w:rPr>
              <w:t xml:space="preserve">~16,500+</w:t>
            </w:r>
          </w:p>
        </w:tc>
        <w:tc>
          <w:tcPr>
            <w:tcW w:type="dxa" w:w="3360"/>
          </w:tcPr>
          <w:p>
            <w:r>
              <w:rPr>
                <w:sz w:val="20"/>
                <w:szCs w:val="20"/>
              </w:rPr>
              <w:t xml:space="preserve">Same malformed-string structure as custom_activites_raw</w:t>
            </w:r>
          </w:p>
        </w:tc>
      </w:tr>
    </w:tbl>
    <w:p>
      <w:pPr>
        <w:spacing w:after="160"/>
      </w:pPr>
      <w:r>
        <w:t xml:space="preserve"/>
      </w:r>
    </w:p>
    <w:p>
      <w:pPr>
        <w:pStyle w:val="Heading2"/>
        <w:spacing w:after="120" w:before="240"/>
      </w:pPr>
      <w:r>
        <w:t xml:space="preserve">2.2 Excluded Table</w:t>
      </w:r>
    </w:p>
    <w:p>
      <w:pPr>
        <w:spacing w:after="160"/>
      </w:pPr>
      <w:r>
        <w:rPr>
          <w:b/>
          <w:bCs/>
        </w:rPr>
        <w:t xml:space="preserve">leads_raw (~228,000 rows): </w:t>
      </w:r>
      <w:r>
        <w:t xml:space="preserve">present in both schemas with substantial, actively-updating volume, but assumed out of scope for this pipeline. See Open Item #2 for the full reasoning.</w:t>
      </w:r>
    </w:p>
    <w:p>
      <w:pPr>
        <w:pStyle w:val="Heading1"/>
        <w:spacing w:after="150" w:before="300"/>
      </w:pPr>
      <w:r>
        <w:t xml:space="preserve">3. Architecture Overview</w:t>
      </w:r>
    </w:p>
    <w:p>
      <w:pPr>
        <w:spacing w:after="160"/>
      </w:pPr>
      <w:r>
        <w:t xml:space="preserve">The pipeline consists of four layers: Extraction (PostgreSQL → S3), Bronze (external stage → COPY INTO), Silver (repair, flatten, deduplicate), and Gold (dimensions, funnel fact, KPI views) with a final Export sub-layer (COPY INTO flat files). A full visual diagram, including all open items and assumptions, accompanies this document as sales_analytics_pipeline_architecture.drawio.</w:t>
      </w:r>
    </w:p>
    <w:p>
      <w:pPr>
        <w:spacing w:after="160"/>
      </w:pPr>
      <w:r>
        <w:t xml:space="preserve">Data flows strictly left-to-right / top-to-bottom through the medallion layers; each stage can be re-run independently from the layer before it without re-extracting from the source, consistent with medallion architecture's core premise: Bronze is custody, not correctness.</w:t>
      </w:r>
    </w:p>
    <w:p>
      <w:pPr>
        <w:pStyle w:val="Heading1"/>
        <w:spacing w:after="150" w:before="300"/>
      </w:pPr>
      <w:r>
        <w:t xml:space="preserve">4. Component Rationale</w:t>
      </w:r>
    </w:p>
    <w:p>
      <w:pPr>
        <w:pStyle w:val="Heading2"/>
        <w:spacing w:after="120" w:before="240"/>
      </w:pPr>
      <w:r>
        <w:t xml:space="preserve">4.1 Extraction Layer — EventBridge Scheduler + Lambda (pg8000) + SSM Parameter Store</w:t>
      </w:r>
    </w:p>
    <w:p>
      <w:pPr>
        <w:spacing w:after="160"/>
      </w:pPr>
      <w:r>
        <w:t xml:space="preserve">Source data updates once daily by 07:30 AM EST, and steady-state per-run volume is modest — lead_activites_raw's true incremental volume (confirmed post-implementation) runs roughly 2,900–3,000 new rows/day, with close_crm_users_raw larger at up to ~17,000 rows on a first-run backfill and custom_activites_raw smaller still. A single Lambda invocation querying Postgres directly completes well within Lambda's 15-minute ceiling for steady-state runs, making persistent compute unnecessary for a once-daily batch pull. The extraction uses pg8000 rather than psycopg2: pg8000 is a pure-Python Postgres driver with no compiled C extension, avoiding the need for a Lambda Layer built specifically for the Linux runtime — a real deployment friction point when developing from Windows. Incremental state is tracked via a per-table SSM Parameter Store checkpoint holding the last successfully-extracted insert_date; this is deliberately separate from Snowflake-side stage/load tracking (Section 4.2), since these represent two distinct boundaries — extraction state from a live database cannot be derived from S3 file listings the way stage-to-Bronze load state can.</w:t>
      </w:r>
    </w:p>
    <w:p>
      <w:pPr>
        <w:spacing w:after="160"/>
      </w:pPr>
      <w:r>
        <w:t xml:space="preserve">Extraction output is batched by accumulated byte size (~4MB per file) rather than by row count, and each batch is written to its own S3 file as newline-delimited JSON — raw/ remains an untouched mirror of the source, with no repair or transformation applied at this stage. Byte-size batching was adopted after a row-count-based approach (a fixed 5,000 rows/batch) was implemented first and failed in practice: it still produced a Lambda Runtime.OutOfMemory error during the first-run historical backfill, even at 1024MB, because individual row sizes for these tables vary enough that row count alone is not a reliable proxy for memory usage. Byte-size batching resolved this: peak observed memory usage was 221MB when extracting 17,174 rows from close_crm_users_raw, the largest table by volume encountered. Lambda memory was subsequently right-sized from an initial 3008MB safety-margin allocation down to 512MB based on this empirical result — documented here as a concrete instance of validating architecture decisions against real data rather than provisioning by assumption. The single-quote JSON malformation is not universal across tables (confirmed via direct inspection), so repair logic is deferred to Silver, where table-aware transform logic already needs to exist regardless.</w:t>
      </w:r>
    </w:p>
    <w:p>
      <w:pPr>
        <w:pStyle w:val="Heading2"/>
        <w:spacing w:after="120" w:before="240"/>
      </w:pPr>
      <w:r>
        <w:t xml:space="preserve">4.2 Bronze Layer — External Stage + COPY INTO</w:t>
      </w:r>
    </w:p>
    <w:p>
      <w:pPr>
        <w:spacing w:after="160"/>
      </w:pPr>
      <w:r>
        <w:t xml:space="preserve">A single external stage (SALES_ANALYTICS_RAW_STAGE) references the S3 raw/ prefix via a Snowflake Storage Integration — IAM role trust rather than embedded AWS access keys, consistent with the OIDC-based, credential-free trust pattern already used elsewhere in this project's AWS infrastructure. Each Bronze table lands with two columns: PAYLOAD (VARIANT), holding the raw_data content exactly as extracted, and INSERT_DATE, sourced from Postgres's top-level insert_date column.</w:t>
      </w:r>
    </w:p>
    <w:p>
      <w:pPr>
        <w:spacing w:after="160"/>
      </w:pPr>
      <w:r>
        <w:t xml:space="preserve">The Snowflake PDF's stated Bronze schema (JSON_OBJECT, INSERT_DATE) accurately describes custom_activites_raw and close_crm_users_raw, but not lead_activites_raw, whose real structure has no JSON_OBJECT wrapper at all. Rather than forcing a uniform column shape across all three tables, Bronze mirrors whatever structure genuinely arrives from extraction — consistently named, not assumed uniform in content. Snowflake's native COPY INTO file-load metadata (64-day retention by default) satisfies the "track incremental loads" requirement from Phase 3 without a custom-built tracking table.</w:t>
      </w:r>
    </w:p>
    <w:p>
      <w:pPr>
        <w:pStyle w:val="Heading2"/>
        <w:spacing w:after="120" w:before="240"/>
      </w:pPr>
      <w:r>
        <w:t xml:space="preserve">4.3 Silver Layer — Python UDF Repair, Flatten, MERGE/Dedup</w:t>
      </w:r>
    </w:p>
    <w:p>
      <w:pPr>
        <w:spacing w:after="160"/>
      </w:pPr>
      <w:r>
        <w:t xml:space="preserve">The single-quote-instead-of-double-quote malformation in custom_activites_raw and close_crm_users_raw cannot be reliably resolved with SQL regex alone — the delimiter character collides with literal apostrophes in free-text fields (e.g. "Prospect's Name", or English scare-quotes inside description fields). A stateful, apostrophe-aware character scan is required; this logic was developed and tested locally against real sample data before being ported into a Snowflake Python UDF, which executes natively inside Snowflake — satisfying the Spark/PySpark exclusion while reusing already-validated logic. lead_activites_raw skips this step entirely, since its payload is already valid nested jsonb.</w:t>
      </w:r>
    </w:p>
    <w:p>
      <w:pPr>
        <w:spacing w:after="160"/>
      </w:pPr>
      <w:r>
        <w:t xml:space="preserve">A new Silver table, CUSTOM_ACTIVITY_FIELDS, is introduced beyond what the Snowflake PDF specifies. The PDF's CUSTOM_ACTIVITIES table implies one canonical outcome per activity type (CUSTOM_ACTIVITY_OUTCOME_ID / NAME), but the real source data shows each activity type carries multiple choice-type fields — Strategy Call alone has six. CUSTOM_ACTIVITY_FIELDS flattens the nested fields array per activity type into its own row, producing the cf_XXXX → field_name → owning activity type dictionary that Phase 3 explicitly calls for ("join [custom.cf_ keys] to the customized outcome dictionary"). This dictionary is the mechanism that resolved the apparent outcome-value duplication identified during requirements analysis — see Section 4.4.</w:t>
      </w:r>
    </w:p>
    <w:p>
      <w:pPr>
        <w:spacing w:after="160"/>
      </w:pPr>
      <w:r>
        <w:t xml:space="preserve">Deduplication follows Section 4.1 of the requirements doc exactly: MD5_HASH-based change detection, MERGE INTO upserts, dedup key of lead_id + activity_id, keeping the latest record by activity_at, with INSERT_DATE / UPDATE_DATE for auditability.</w:t>
      </w:r>
    </w:p>
    <w:p>
      <w:pPr>
        <w:spacing w:after="160"/>
      </w:pPr>
      <w:r>
        <w:t xml:space="preserve">Implementation status: deployed and running. Two findings emerged only once real deployment was attempted, both now reflected in the deployed code. First, snow sql -f splits files into separate statements on semicolons, which breaks a Task body written as a raw multi-statement BEGIN...END block — confirmed via an actual failed deploy (syntax error, unexpected end of file). The fix moves each Task's logic into a stored procedure with its body wrapped in $$...$$ dollar-quoting (the same protection the repair UDF's Python body already relied on), with the Task itself reduced to a single CALL statement. Second, the repair UDF originally assumed its input was always a non-null string; real data contains some rows where PAYLOAD:JSON_OBJECT is NULL (not universal per row), and the resulting Python exception aborted the entire calling SQL statement rather than just that row — defeating the quarantine design in Section 6.3 until the UDF was corrected to return NULL on NULL input, matching TRY_PARSE_JSON's existing NULL-handling.</w:t>
      </w:r>
    </w:p>
    <w:p>
      <w:pPr>
        <w:pStyle w:val="Heading2"/>
        <w:spacing w:after="120" w:before="240"/>
      </w:pPr>
      <w:r>
        <w:t xml:space="preserve">4.4 Gold Layer — Dimensions, Funnel Fact, and Field-Scoped Outcome Resolution</w:t>
      </w:r>
    </w:p>
    <w:p>
      <w:pPr>
        <w:spacing w:after="160"/>
      </w:pPr>
      <w:r>
        <w:t xml:space="preserve">The Gold layer's fact_lead_funnel view is the component that makes Section 3's business hierarchy (triage → strategy call → offer → sale) actually queryable against real data. Every lead activity's custom.cf_XXXX keys are resolved against CUSTOM_ACTIVITY_FIELDS before any funnel-stage logic runs, so each outcome value carries its owning field name (Triage Call Outcome, Strategy Call Outcome, Follow Up Call Outcome, Pipeline Stage) rather than being interpreted as a flat, ungrouped list of numbered strings.</w:t>
      </w:r>
    </w:p>
    <w:p>
      <w:pPr>
        <w:spacing w:after="160"/>
      </w:pPr>
      <w:r>
        <w:t xml:space="preserve">This directly resolves what initially appeared to be a data inconsistency during requirements analysis: values such as '3. No Show' and '4. No Show' looked like duplicates of the same outcome under two different numbering schemes. Direct data investigation showed they are not duplicates at all — they come from two entirely different CRM fields (Follow Up Call Outcome and Strategy Call Outcome respectively) that happen to share label text. Funnel-stage classification logic (e.g. strategy_call_attendance) applies Section 3.2's exclusion rules scoped per field, not as one global list.</w:t>
      </w:r>
    </w:p>
    <w:p>
      <w:pPr>
        <w:spacing w:after="160"/>
      </w:pPr>
      <w:r>
        <w:t xml:space="preserve">dim_users includes an IS_INTERNAL flag, derived from a working assumption that email addresses on the dataengineeracademy.com domain (and close typo variants observed in the data) represent internal/test accounts rather than genuine setter/closer activity — see Open Item #5. The flag is kept queryable on the dimension rather than used to silently drop rows, so this assumption can be reversed later without a Silver-layer rebuild.</w:t>
      </w:r>
    </w:p>
    <w:p>
      <w:pPr>
        <w:spacing w:after="160"/>
      </w:pPr>
      <w:r>
        <w:t xml:space="preserve">Implementation status: all five KPI views (inbound/outbound strategies booked, all strategies details, sales details, outbound prospect dials) deployed as documented, using field names confirmed from direct inspection of real source data. These represent a first-pass mapping of Section 3's business hierarchy to queryable SQL, not yet validated against Avirup's reference report snapshot — see Section 10, Next Steps. One deployment-sequencing finding worth noting for anyone rebuilding this environment: fact_lead_funnel references CUSTOM_ACTIVITY_FIELDS, a table that only gets created when SP_SILVER_PROCESS actually executes, not when it is merely deployed. Deploying updated code redefines what a stored procedure will do the next time it runs; it does not run it. On a fresh account, SP_BRONZE_LOAD and SP_SILVER_PROCESS must be called manually at least once before the Gold layer can deploy successfully.</w:t>
      </w:r>
    </w:p>
    <w:p>
      <w:pPr>
        <w:pStyle w:val="Heading2"/>
        <w:spacing w:after="120" w:before="240"/>
      </w:pPr>
      <w:r>
        <w:t xml:space="preserve">4.5 Export Layer — RESOLVED: Not Required</w:t>
      </w:r>
    </w:p>
    <w:p>
      <w:pPr>
        <w:spacing w:after="160"/>
      </w:pPr>
      <w:r>
        <w:t xml:space="preserve">Originally designed as COPY INTO flat-file unloads to the exact stage paths named in the Snowflake PDF (e.g. dea_setter_report/inbound/), built as a hedge against how the reporting-tool question would resolve. The SME has since resolved this directly: “So for the tools you may use outside snowflake you might want to use these output paths to dump data daily and use it. If within snowflake then I think you can use the tables and query directly.” Since Streamlit in Snowflake (Section 5) is the confirmed reporting tool and reads Gold views directly, the Export Layer is not required for this project. The COPY INTO SQL remains available and untouched in the repository if a future external tool ever needs it, but is not part of the active daily pipeline.</w:t>
      </w:r>
    </w:p>
    <w:p>
      <w:pPr>
        <w:pStyle w:val="Heading1"/>
        <w:spacing w:after="150" w:before="300"/>
      </w:pPr>
      <w:r>
        <w:t xml:space="preserve">5. Reporting &amp; Visualization Layer</w:t>
      </w:r>
    </w:p>
    <w:p>
      <w:pPr>
        <w:spacing w:after="160"/>
      </w:pPr>
      <w:r>
        <w:t xml:space="preserve">SME review of the initial architecture diagram confirmed the pipeline logic as correct, and separately flagged that no reporting/visualization tool was specified, with explicit direction to propose one. Two viable options were presented; Option A has since been built and confirmed as the SME-approved direction (see 4.5 above).</w:t>
      </w:r>
    </w:p>
    <w:p>
      <w:pPr>
        <w:pStyle w:val="Heading2"/>
        <w:spacing w:after="120" w:before="240"/>
      </w:pPr>
      <w:r>
        <w:t xml:space="preserve">5.1 Streamlit in Snowflake (CONFIRMED, IMPLEMENTED)</w:t>
      </w:r>
    </w:p>
    <w:p>
      <w:pPr>
        <w:spacing w:after="160"/>
      </w:pPr>
      <w:r>
        <w:t xml:space="preserve">Streamlit apps can be created, hosted, and run natively inside a Snowflake account — including trial/free-tier accounts, confirmed via Snowflake's own onboarding documentation — with no separate infrastructure, hosting service, or license required. The app appears directly in Snowsight's Projects navigation alongside existing worksheets, runs on the same warehouse compute already provisioned for this pipeline, and reads Gold-layer views directly via Snowflake's native Python connector. Access control uses Snowflake's existing RBAC, with no separate authentication system to build.</w:t>
      </w:r>
    </w:p>
    <w:p>
      <w:pPr>
        <w:spacing w:after="160"/>
      </w:pPr>
      <w:r>
        <w:t xml:space="preserve">This option satisfies the “exclusively within Snowflake” requirement outright, confirmed by the SME's own Export Layer resolution above — no component of the reporting layer sits outside the Snowflake account. Cost is limited to standard warehouse compute already budgeted for Gold-layer queries — no incremental licensing cost. Deployed via GitHub Actions (snow streamlit deploy) alongside the rest of the Snowflake layer, with all four reports (Inbound Setter, Outbound Setter, Closer, Objections Faced) rendering as interactive tables, summary metrics, and trend charts.</w:t>
      </w:r>
    </w:p>
    <w:p>
      <w:pPr>
        <w:spacing w:after="160"/>
      </w:pPr>
      <w:r>
        <w:t xml:space="preserve">One implementation-level bug found and fixed post-deploy, worth documenting since it affects trust in displayed numbers rather than underlying data correctness: initial summary metrics computed an unweighted mean of already-aggregated daily percentage columns (e.g. averaging each day's Show Rate), which distorts toward small-volume days — confirmed directly, where this approach showed 98.7% against a correctly pooled rate of 87.8% on the same data. Fixed by computing pooled rates from summed numerators and denominators (e.g. SUM(taken)/SUM(booked)) rather than averaging pre-computed percentages, applied consistently across all rate-based metrics and trend charts in the app.</w:t>
      </w:r>
    </w:p>
    <w:p>
      <w:pPr>
        <w:pStyle w:val="Heading2"/>
        <w:spacing w:after="120" w:before="240"/>
      </w:pPr>
      <w:r>
        <w:t xml:space="preserve">5.2 Tableau Desktop (superseded, not built)</w:t>
      </w:r>
    </w:p>
    <w:p>
      <w:pPr>
        <w:spacing w:after="160"/>
      </w:pPr>
      <w:r>
        <w:t xml:space="preserve">Confirmed viable on the Snowflake account this project uses — a live connection under the ACCOUNTADMIN role had already been established from Tableau Desktop in prior work, confirming a full Creator-tier license rather than the connector-restricted Public Edition. Not pursued further once Streamlit was confirmed as the SME-approved direction; retained here as a documented alternative in case Streamlit in Snowflake becomes unavailable or unsuitable in the future.</w:t>
      </w:r>
    </w:p>
    <w:p>
      <w:pPr>
        <w:pStyle w:val="Heading1"/>
        <w:spacing w:after="150" w:before="300"/>
      </w:pPr>
      <w:r>
        <w:t xml:space="preserve">6. Monitoring &amp; Error Handling</w:t>
      </w:r>
    </w:p>
    <w:p>
      <w:pPr>
        <w:spacing w:after="160"/>
      </w:pPr>
      <w:r>
        <w:t xml:space="preserve">SME review of the architecture diagram noted the absence of failure notification or fallback systems. This is a legitimate gap: the original design specified the happy-path flow end-to-end but did not address what happens when a stage fails partway — a risk already demonstrated directly during requirements analysis, when an early version of the outcome-scanning script silently failed to parse 500 out of 500 rows due to an undocumented structural difference in one source table, with no alert of any kind short of manually reading the output.</w:t>
      </w:r>
    </w:p>
    <w:p>
      <w:pPr>
        <w:pStyle w:val="Heading2"/>
        <w:spacing w:after="120" w:before="240"/>
      </w:pPr>
      <w:r>
        <w:t xml:space="preserve">6.1 Extraction Layer</w:t>
      </w:r>
    </w:p>
    <w:p>
      <w:pPr>
        <w:spacing w:after="160"/>
      </w:pPr>
      <w:r>
        <w:t xml:space="preserve">A CloudWatch Alarm on the extraction Lambda's error rate triggers an SNS notification (email, extensible to Slack) on failure — covering Postgres connection failures, malformed query results, or S3 write failures. This mirrors the alerting pattern already used for credential and IAM issues elsewhere in this project's AWS infrastructure.</w:t>
      </w:r>
    </w:p>
    <w:p>
      <w:pPr>
        <w:pStyle w:val="Heading2"/>
        <w:spacing w:after="120" w:before="240"/>
      </w:pPr>
      <w:r>
        <w:t xml:space="preserve">6.2 Bronze Layer</w:t>
      </w:r>
    </w:p>
    <w:p>
      <w:pPr>
        <w:spacing w:after="160"/>
      </w:pPr>
      <w:r>
        <w:t xml:space="preserve">Each COPY INTO statement's ON_ERROR behavior is made an explicit, deliberate choice rather than left at a silent default. ON_ERROR = 'CONTINUE' (as originally specified in Section 4.2) skips malformed rows without failing the load — acceptable for throughput, but only if skipped rows are tracked somewhere, since a silent skip is functionally identical to data loss if unmonitored. This design adds row-count reconciliation — comparing rows staged vs. rows loaded per run — with a Snowflake Task failure notification if the delta exceeds a defined threshold.</w:t>
      </w:r>
    </w:p>
    <w:p>
      <w:pPr>
        <w:pStyle w:val="Heading2"/>
        <w:spacing w:after="120" w:before="240"/>
      </w:pPr>
      <w:r>
        <w:t xml:space="preserve">6.3 Silver Layer — Repair Failure Quarantine</w:t>
      </w:r>
    </w:p>
    <w:p>
      <w:pPr>
        <w:spacing w:after="160"/>
      </w:pPr>
      <w:r>
        <w:t xml:space="preserve">Rows that fail the repair UDF or subsequent PARSE_JSON step (a real, observed failure mode — see Section 6 introduction) are written to a dedicated silver.parse_failures table rather than silently dropped, capturing the original payload, source table, insert_date, and error detail. This keeps failed rows visible and recoverable rather than invisibly absent from downstream Gold-layer counts, and gives a concrete queue to work from if the repair heuristic needs refinement for edge cases (e.g. the nested scare-quote ambiguity identified during local testing).</w:t>
      </w:r>
    </w:p>
    <w:p>
      <w:pPr>
        <w:pStyle w:val="Heading2"/>
        <w:spacing w:after="120" w:before="240"/>
      </w:pPr>
      <w:r>
        <w:t xml:space="preserve">6.4 Pipeline Orchestration</w:t>
      </w:r>
    </w:p>
    <w:p>
      <w:pPr>
        <w:spacing w:after="160"/>
      </w:pPr>
      <w:r>
        <w:t xml:space="preserve">Snowflake Task failure notifications (native notification integration) are configured across the Bronze → Silver → Gold task chain, so a failure at any stage surfaces immediately rather than being discovered only when a downstream report looks wrong. Combined with 6.1–6.3, this gives every layer of the pipeline an explicit failure path rather than the implicit “it will just work” assumption the original diagram did not address.</w:t>
      </w:r>
    </w:p>
    <w:p>
      <w:pPr>
        <w:pStyle w:val="Heading1"/>
        <w:spacing w:after="150" w:before="300"/>
      </w:pPr>
      <w:r>
        <w:t xml:space="preserve">7. Snowflake Object Structure</w:t>
      </w:r>
    </w:p>
    <w:p>
      <w:pPr>
        <w:spacing w:after="160"/>
      </w:pPr>
      <w:r>
        <w:t xml:space="preserve">Schema-per-layer within a single database, matching the medallion naming used throughout this document:</w:t>
      </w:r>
    </w:p>
    <w:p>
      <w:pPr>
        <w:shd w:fill="F2F2F2" w:val="clear"/>
        <w:spacing w:after="160"/>
      </w:pPr>
      <w:r>
        <w:rPr>
          <w:rFonts w:ascii="Consolas" w:cs="Consolas" w:eastAsia="Consolas" w:hAnsi="Consolas"/>
          <w:sz w:val="18"/>
          <w:szCs w:val="18"/>
        </w:rPr>
        <w:t xml:space="preserve">BRONZE.LEAD_ACTIVITIES_RAW
BRONZE.CUSTOM_ACTIVITIES_RAW
BRONZE.CLOSE_CRM_USERS_RAW</w:t>
      </w:r>
    </w:p>
    <w:p>
      <w:pPr>
        <w:shd w:fill="F2F2F2" w:val="clear"/>
        <w:spacing w:after="160"/>
      </w:pPr>
      <w:r>
        <w:rPr>
          <w:rFonts w:ascii="Consolas" w:cs="Consolas" w:eastAsia="Consolas" w:hAnsi="Consolas"/>
          <w:sz w:val="18"/>
          <w:szCs w:val="18"/>
        </w:rPr>
        <w:t xml:space="preserve">SILVER.LEAD_ACTIVITIES_PROCESSED
SILVER.CUSTOM_ACTIVITIES_TRANSIENT
SILVER.CUSTOM_ACTIVITY_FIELDS         (new)
SILVER.CLOSE_CRM_USERS_PROCESSED</w:t>
      </w:r>
    </w:p>
    <w:p>
      <w:pPr>
        <w:shd w:fill="F2F2F2" w:val="clear"/>
        <w:spacing w:after="160"/>
      </w:pPr>
      <w:r>
        <w:rPr>
          <w:rFonts w:ascii="Consolas" w:cs="Consolas" w:eastAsia="Consolas" w:hAnsi="Consolas"/>
          <w:sz w:val="18"/>
          <w:szCs w:val="18"/>
        </w:rPr>
        <w:t xml:space="preserve">GOLD.DIM_USERS
GOLD.FACT_LEAD_FUNNEL                 (new)
GOLD.INBOUND_STRATEGIES_BOOKED
GOLD.OUTBOUND_STRATEGIES_BOOKED
GOLD.ALL_STRATEGIES_DETAILS
GOLD.SALES_DETAILS
GOLD.OUTBOUND_PROSPECT_DIALS</w:t>
      </w:r>
    </w:p>
    <w:p>
      <w:pPr>
        <w:spacing w:after="160"/>
      </w:pPr>
      <w:r>
        <w:t xml:space="preserve">S3 raw/ is prefix-partitioned per table by ingestion date (dt=YYYY-MM-DD), matching the pattern used on the Healthcare Metrics capstone: raw/ as an untouched, re-runnable mirror of the source, with all cleaning and business logic deferred to Silver and Gold.</w:t>
      </w:r>
    </w:p>
    <w:p>
      <w:pPr>
        <w:pStyle w:val="Heading1"/>
        <w:spacing w:after="150" w:before="300"/>
      </w:pPr>
      <w:r>
        <w:t xml:space="preserve">8. Cost Considerations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shd w:fill="D9D9D9" w:val="clear"/>
          </w:tcPr>
          <w:p>
            <w:r>
              <w:rPr>
                <w:b/>
                <w:bCs/>
                <w:sz w:val="20"/>
                <w:szCs w:val="20"/>
              </w:rPr>
              <w:t xml:space="preserve">Service</w:t>
            </w:r>
          </w:p>
        </w:tc>
        <w:tc>
          <w:tcPr>
            <w:tcW w:type="dxa" w:w="2800"/>
            <w:shd w:fill="D9D9D9" w:val="clear"/>
          </w:tcPr>
          <w:p>
            <w:r>
              <w:rPr>
                <w:b/>
                <w:bCs/>
                <w:sz w:val="20"/>
                <w:szCs w:val="20"/>
              </w:rPr>
              <w:t xml:space="preserve">Est. monthly cost driver</w:t>
            </w:r>
          </w:p>
        </w:tc>
        <w:tc>
          <w:tcPr>
            <w:tcW w:type="dxa" w:w="4060"/>
            <w:shd w:fill="D9D9D9" w:val="clear"/>
          </w:tcPr>
          <w:p>
            <w:r>
              <w:rPr>
                <w:b/>
                <w:bCs/>
                <w:sz w:val="20"/>
                <w:szCs w:val="20"/>
              </w:rPr>
              <w:t xml:space="preserve">Notes</w:t>
            </w:r>
          </w:p>
        </w:tc>
      </w:tr>
      <w:tr>
        <w:tc>
          <w:tcPr>
            <w:tcW w:type="dxa" w:w="2500"/>
          </w:tcPr>
          <w:p>
            <w:r>
              <w:rPr>
                <w:sz w:val="20"/>
                <w:szCs w:val="20"/>
              </w:rPr>
              <w:t xml:space="preserve">Lambda</w:t>
            </w:r>
          </w:p>
        </w:tc>
        <w:tc>
          <w:tcPr>
            <w:tcW w:type="dxa" w:w="2800"/>
          </w:tcPr>
          <w:p>
            <w:r>
              <w:rPr>
                <w:sz w:val="20"/>
                <w:szCs w:val="20"/>
              </w:rPr>
              <w:t xml:space="preserve">Free tier (1M req/mo)</w:t>
            </w:r>
          </w:p>
        </w:tc>
        <w:tc>
          <w:tcPr>
            <w:tcW w:type="dxa" w:w="4060"/>
          </w:tcPr>
          <w:p>
            <w:r>
              <w:rPr>
                <w:sz w:val="20"/>
                <w:szCs w:val="20"/>
              </w:rPr>
              <w:t xml:space="preserve">One scheduled invocation per day</w:t>
            </w:r>
          </w:p>
        </w:tc>
      </w:tr>
      <w:tr>
        <w:tc>
          <w:tcPr>
            <w:tcW w:type="dxa" w:w="2500"/>
          </w:tcPr>
          <w:p>
            <w:r>
              <w:rPr>
                <w:sz w:val="20"/>
                <w:szCs w:val="20"/>
              </w:rPr>
              <w:t xml:space="preserve">EventBridge Scheduler</w:t>
            </w:r>
          </w:p>
        </w:tc>
        <w:tc>
          <w:tcPr>
            <w:tcW w:type="dxa" w:w="2800"/>
          </w:tcPr>
          <w:p>
            <w:r>
              <w:rPr>
                <w:sz w:val="20"/>
                <w:szCs w:val="20"/>
              </w:rPr>
              <w:t xml:space="preserve">Free tier</w:t>
            </w:r>
          </w:p>
        </w:tc>
        <w:tc>
          <w:tcPr>
            <w:tcW w:type="dxa" w:w="4060"/>
          </w:tcPr>
          <w:p>
            <w:r>
              <w:rPr>
                <w:sz w:val="20"/>
                <w:szCs w:val="20"/>
              </w:rPr>
              <w:t xml:space="preserve">Single daily rule</w:t>
            </w:r>
          </w:p>
        </w:tc>
      </w:tr>
      <w:tr>
        <w:tc>
          <w:tcPr>
            <w:tcW w:type="dxa" w:w="2500"/>
          </w:tcPr>
          <w:p>
            <w:r>
              <w:rPr>
                <w:sz w:val="20"/>
                <w:szCs w:val="20"/>
              </w:rPr>
              <w:t xml:space="preserve">S3 storage</w:t>
            </w:r>
          </w:p>
        </w:tc>
        <w:tc>
          <w:tcPr>
            <w:tcW w:type="dxa" w:w="2800"/>
          </w:tcPr>
          <w:p>
            <w:r>
              <w:rPr>
                <w:sz w:val="20"/>
                <w:szCs w:val="20"/>
              </w:rPr>
              <w:t xml:space="preserve">&lt; $1</w:t>
            </w:r>
          </w:p>
        </w:tc>
        <w:tc>
          <w:tcPr>
            <w:tcW w:type="dxa" w:w="4060"/>
          </w:tcPr>
          <w:p>
            <w:r>
              <w:rPr>
                <w:sz w:val="20"/>
                <w:szCs w:val="20"/>
              </w:rPr>
              <w:t xml:space="preserve">Raw JSON well under 1 GB at current growth rate</w:t>
            </w:r>
          </w:p>
        </w:tc>
      </w:tr>
      <w:tr>
        <w:tc>
          <w:tcPr>
            <w:tcW w:type="dxa" w:w="2500"/>
          </w:tcPr>
          <w:p>
            <w:r>
              <w:rPr>
                <w:sz w:val="20"/>
                <w:szCs w:val="20"/>
              </w:rPr>
              <w:t xml:space="preserve">SSM Parameter Store</w:t>
            </w:r>
          </w:p>
        </w:tc>
        <w:tc>
          <w:tcPr>
            <w:tcW w:type="dxa" w:w="2800"/>
          </w:tcPr>
          <w:p>
            <w:r>
              <w:rPr>
                <w:sz w:val="20"/>
                <w:szCs w:val="20"/>
              </w:rPr>
              <w:t xml:space="preserve">Free tier</w:t>
            </w:r>
          </w:p>
        </w:tc>
        <w:tc>
          <w:tcPr>
            <w:tcW w:type="dxa" w:w="4060"/>
          </w:tcPr>
          <w:p>
            <w:r>
              <w:rPr>
                <w:sz w:val="20"/>
                <w:szCs w:val="20"/>
              </w:rPr>
              <w:t xml:space="preserve">3 checkpoint parameters (standard tier)</w:t>
            </w:r>
          </w:p>
        </w:tc>
      </w:tr>
      <w:tr>
        <w:tc>
          <w:tcPr>
            <w:tcW w:type="dxa" w:w="2500"/>
          </w:tcPr>
          <w:p>
            <w:r>
              <w:rPr>
                <w:sz w:val="20"/>
                <w:szCs w:val="20"/>
              </w:rPr>
              <w:t xml:space="preserve">Snowflake compute</w:t>
            </w:r>
          </w:p>
        </w:tc>
        <w:tc>
          <w:tcPr>
            <w:tcW w:type="dxa" w:w="2800"/>
          </w:tcPr>
          <w:p>
            <w:r>
              <w:rPr>
                <w:sz w:val="20"/>
                <w:szCs w:val="20"/>
              </w:rPr>
              <w:t xml:space="preserve">Primary cost driver</w:t>
            </w:r>
          </w:p>
        </w:tc>
        <w:tc>
          <w:tcPr>
            <w:tcW w:type="dxa" w:w="4060"/>
          </w:tcPr>
          <w:p>
            <w:r>
              <w:rPr>
                <w:sz w:val="20"/>
                <w:szCs w:val="20"/>
              </w:rPr>
              <w:t xml:space="preserve">Bronze COPY INTO, Silver UDF/MERGE, Gold view materialization — scales with warehouse size and schedule frequency, not row count alone</w:t>
            </w:r>
          </w:p>
        </w:tc>
      </w:tr>
      <w:tr>
        <w:tc>
          <w:tcPr>
            <w:tcW w:type="dxa" w:w="2500"/>
          </w:tcPr>
          <w:p>
            <w:r>
              <w:rPr>
                <w:sz w:val="20"/>
                <w:szCs w:val="20"/>
              </w:rPr>
              <w:t xml:space="preserve">Snowflake storage</w:t>
            </w:r>
          </w:p>
        </w:tc>
        <w:tc>
          <w:tcPr>
            <w:tcW w:type="dxa" w:w="2800"/>
          </w:tcPr>
          <w:p>
            <w:r>
              <w:rPr>
                <w:sz w:val="20"/>
                <w:szCs w:val="20"/>
              </w:rPr>
              <w:t xml:space="preserve">Low, grows with history</w:t>
            </w:r>
          </w:p>
        </w:tc>
        <w:tc>
          <w:tcPr>
            <w:tcW w:type="dxa" w:w="4060"/>
          </w:tcPr>
          <w:p>
            <w:r>
              <w:rPr>
                <w:sz w:val="20"/>
                <w:szCs w:val="20"/>
              </w:rPr>
              <w:t xml:space="preserve">Silver/Gold retain full history via MERGE upserts rather than daily full rebuilds</w:t>
            </w:r>
          </w:p>
        </w:tc>
      </w:tr>
    </w:tbl>
    <w:p>
      <w:pPr>
        <w:spacing w:after="160"/>
      </w:pPr>
      <w:r>
        <w:t xml:space="preserve"/>
      </w:r>
    </w:p>
    <w:p>
      <w:pPr>
        <w:spacing w:after="160"/>
      </w:pPr>
      <w:r>
        <w:t xml:space="preserve">Snowflake compute is the primary cost lever in this design, unlike the AWS-dominated cost profile on Healthcare Metrics — a direct consequence of the "exclusively within Snowflake" transformation requirement. Warehouse sizing (and whether to run Silver/Gold on a schedule vs. via Snowflake Tasks triggered by Bronze load completion) is the main tuning lever once real daily volumes are confirmed against production-scale data.</w:t>
      </w:r>
    </w:p>
    <w:p>
      <w:pPr>
        <w:pStyle w:val="Heading1"/>
        <w:spacing w:after="150" w:before="300"/>
      </w:pPr>
      <w:r>
        <w:t xml:space="preserve">9. Alternatives Considered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shd w:fill="D9D9D9" w:val="clear"/>
          </w:tcPr>
          <w:p>
            <w:r>
              <w:rPr>
                <w:b/>
                <w:bCs/>
                <w:sz w:val="20"/>
                <w:szCs w:val="20"/>
              </w:rPr>
              <w:t xml:space="preserve">Layer</w:t>
            </w:r>
          </w:p>
        </w:tc>
        <w:tc>
          <w:tcPr>
            <w:tcW w:type="dxa" w:w="2400"/>
            <w:shd w:fill="D9D9D9" w:val="clear"/>
          </w:tcPr>
          <w:p>
            <w:r>
              <w:rPr>
                <w:b/>
                <w:bCs/>
                <w:sz w:val="20"/>
                <w:szCs w:val="20"/>
              </w:rPr>
              <w:t xml:space="preserve">Selected</w:t>
            </w:r>
          </w:p>
        </w:tc>
        <w:tc>
          <w:tcPr>
            <w:tcW w:type="dxa" w:w="2400"/>
            <w:shd w:fill="D9D9D9" w:val="clear"/>
          </w:tcPr>
          <w:p>
            <w:r>
              <w:rPr>
                <w:b/>
                <w:bCs/>
                <w:sz w:val="20"/>
                <w:szCs w:val="20"/>
              </w:rPr>
              <w:t xml:space="preserve">Alternative</w:t>
            </w:r>
          </w:p>
        </w:tc>
        <w:tc>
          <w:tcPr>
            <w:tcW w:type="dxa" w:w="2960"/>
            <w:shd w:fill="D9D9D9" w:val="clear"/>
          </w:tcPr>
          <w:p>
            <w:r>
              <w:rPr>
                <w:b/>
                <w:bCs/>
                <w:sz w:val="20"/>
                <w:szCs w:val="20"/>
              </w:rPr>
              <w:t xml:space="preserve">Why not selected</w:t>
            </w:r>
          </w:p>
        </w:tc>
      </w:tr>
      <w:tr>
        <w:tc>
          <w:tcPr>
            <w:tcW w:type="dxa" w:w="1600"/>
          </w:tcPr>
          <w:p>
            <w:r>
              <w:rPr>
                <w:sz w:val="20"/>
                <w:szCs w:val="20"/>
              </w:rPr>
              <w:t xml:space="preserve">Extraction compute</w:t>
            </w:r>
          </w:p>
        </w:tc>
        <w:tc>
          <w:tcPr>
            <w:tcW w:type="dxa" w:w="2400"/>
          </w:tcPr>
          <w:p>
            <w:r>
              <w:rPr>
                <w:sz w:val="20"/>
                <w:szCs w:val="20"/>
              </w:rPr>
              <w:t xml:space="preserve">Lambda (psycopg2)</w:t>
            </w:r>
          </w:p>
        </w:tc>
        <w:tc>
          <w:tcPr>
            <w:tcW w:type="dxa" w:w="2400"/>
          </w:tcPr>
          <w:p>
            <w:r>
              <w:rPr>
                <w:sz w:val="20"/>
                <w:szCs w:val="20"/>
              </w:rPr>
              <w:t xml:space="preserve">AWS Database Migration Service (DMS)</w:t>
            </w:r>
          </w:p>
        </w:tc>
        <w:tc>
          <w:tcPr>
            <w:tcW w:type="dxa" w:w="2960"/>
          </w:tcPr>
          <w:p>
            <w:r>
              <w:rPr>
                <w:sz w:val="20"/>
                <w:szCs w:val="20"/>
              </w:rPr>
              <w:t xml:space="preserve">DMS is the AWS-native tool purpose-built for DB→S3 replication with native CDC support — the strongest alternative considered. Requires a persistent replication instance running continuously, incurring cost disproportionate to a once-daily batch pull on ~7K rows, plus setup overhead not justified at this volume.</w:t>
            </w:r>
          </w:p>
        </w:tc>
      </w:tr>
      <w:tr>
        <w:tc>
          <w:tcPr>
            <w:tcW w:type="dxa" w:w="1600"/>
          </w:tcPr>
          <w:p>
            <w:r>
              <w:rPr>
                <w:sz w:val="20"/>
                <w:szCs w:val="20"/>
              </w:rPr>
              <w:t xml:space="preserve">Extraction compute</w:t>
            </w:r>
          </w:p>
        </w:tc>
        <w:tc>
          <w:tcPr>
            <w:tcW w:type="dxa" w:w="2400"/>
          </w:tcPr>
          <w:p>
            <w:r>
              <w:rPr>
                <w:sz w:val="20"/>
                <w:szCs w:val="20"/>
              </w:rPr>
              <w:t xml:space="preserve">Lambda</w:t>
            </w:r>
          </w:p>
        </w:tc>
        <w:tc>
          <w:tcPr>
            <w:tcW w:type="dxa" w:w="2400"/>
          </w:tcPr>
          <w:p>
            <w:r>
              <w:rPr>
                <w:sz w:val="20"/>
                <w:szCs w:val="20"/>
              </w:rPr>
              <w:t xml:space="preserve">Glue Python Shell</w:t>
            </w:r>
          </w:p>
        </w:tc>
        <w:tc>
          <w:tcPr>
            <w:tcW w:type="dxa" w:w="2960"/>
          </w:tcPr>
          <w:p>
            <w:r>
              <w:rPr>
                <w:sz w:val="20"/>
                <w:szCs w:val="20"/>
              </w:rPr>
              <w:t xml:space="preserve">Considered for consistency with Glue usage elsewhere in AWS-native pipelines. Not selected: no dependency on other Glue-orchestrated steps at extraction, and Lambda's simpler triggering model fits a sub-15-minute daily job directly.</w:t>
            </w:r>
          </w:p>
        </w:tc>
      </w:tr>
      <w:tr>
        <w:tc>
          <w:tcPr>
            <w:tcW w:type="dxa" w:w="1600"/>
          </w:tcPr>
          <w:p>
            <w:r>
              <w:rPr>
                <w:sz w:val="20"/>
                <w:szCs w:val="20"/>
              </w:rPr>
              <w:t xml:space="preserve">Checkpoint state</w:t>
            </w:r>
          </w:p>
        </w:tc>
        <w:tc>
          <w:tcPr>
            <w:tcW w:type="dxa" w:w="2400"/>
          </w:tcPr>
          <w:p>
            <w:r>
              <w:rPr>
                <w:sz w:val="20"/>
                <w:szCs w:val="20"/>
              </w:rPr>
              <w:t xml:space="preserve">SSM Parameter Store (per table)</w:t>
            </w:r>
          </w:p>
        </w:tc>
        <w:tc>
          <w:tcPr>
            <w:tcW w:type="dxa" w:w="2400"/>
          </w:tcPr>
          <w:p>
            <w:r>
              <w:rPr>
                <w:sz w:val="20"/>
                <w:szCs w:val="20"/>
              </w:rPr>
              <w:t xml:space="preserve">Derive checkpoint from latest S3 partition</w:t>
            </w:r>
          </w:p>
        </w:tc>
        <w:tc>
          <w:tcPr>
            <w:tcW w:type="dxa" w:w="2960"/>
          </w:tcPr>
          <w:p>
            <w:r>
              <w:rPr>
                <w:sz w:val="20"/>
                <w:szCs w:val="20"/>
              </w:rPr>
              <w:t xml:space="preserve">Rejected because the source is a live database, not a file drop — there is nothing to list on the source side to infer what's new.</w:t>
            </w:r>
          </w:p>
        </w:tc>
      </w:tr>
      <w:tr>
        <w:tc>
          <w:tcPr>
            <w:tcW w:type="dxa" w:w="1600"/>
          </w:tcPr>
          <w:p>
            <w:r>
              <w:rPr>
                <w:sz w:val="20"/>
                <w:szCs w:val="20"/>
              </w:rPr>
              <w:t xml:space="preserve">Bronze schema</w:t>
            </w:r>
          </w:p>
        </w:tc>
        <w:tc>
          <w:tcPr>
            <w:tcW w:type="dxa" w:w="2400"/>
          </w:tcPr>
          <w:p>
            <w:r>
              <w:rPr>
                <w:sz w:val="20"/>
                <w:szCs w:val="20"/>
              </w:rPr>
              <w:t xml:space="preserve">Single VARIANT PAYLOAD column, structure varies per table</w:t>
            </w:r>
          </w:p>
        </w:tc>
        <w:tc>
          <w:tcPr>
            <w:tcW w:type="dxa" w:w="2400"/>
          </w:tcPr>
          <w:p>
            <w:r>
              <w:rPr>
                <w:sz w:val="20"/>
                <w:szCs w:val="20"/>
              </w:rPr>
              <w:t xml:space="preserve">Force uniform JSON_OBJECT string column across all 3 tables</w:t>
            </w:r>
          </w:p>
        </w:tc>
        <w:tc>
          <w:tcPr>
            <w:tcW w:type="dxa" w:w="2960"/>
          </w:tcPr>
          <w:p>
            <w:r>
              <w:rPr>
                <w:sz w:val="20"/>
                <w:szCs w:val="20"/>
              </w:rPr>
              <w:t xml:space="preserve">Would require artificially re-serializing lead_activites_raw's already-valid object into a string solely to match a column name, adding a transformation step with no functional purpose.</w:t>
            </w:r>
          </w:p>
        </w:tc>
      </w:tr>
      <w:tr>
        <w:tc>
          <w:tcPr>
            <w:tcW w:type="dxa" w:w="1600"/>
          </w:tcPr>
          <w:p>
            <w:r>
              <w:rPr>
                <w:sz w:val="20"/>
                <w:szCs w:val="20"/>
              </w:rPr>
              <w:t xml:space="preserve">Load tracking</w:t>
            </w:r>
          </w:p>
        </w:tc>
        <w:tc>
          <w:tcPr>
            <w:tcW w:type="dxa" w:w="2400"/>
          </w:tcPr>
          <w:p>
            <w:r>
              <w:rPr>
                <w:sz w:val="20"/>
                <w:szCs w:val="20"/>
              </w:rPr>
              <w:t xml:space="preserve">Snowflake's native COPY INTO file-load metadata</w:t>
            </w:r>
          </w:p>
        </w:tc>
        <w:tc>
          <w:tcPr>
            <w:tcW w:type="dxa" w:w="2400"/>
          </w:tcPr>
          <w:p>
            <w:r>
              <w:rPr>
                <w:sz w:val="20"/>
                <w:szCs w:val="20"/>
              </w:rPr>
              <w:t xml:space="preserve">Custom LOAD_HISTORY tracking table</w:t>
            </w:r>
          </w:p>
        </w:tc>
        <w:tc>
          <w:tcPr>
            <w:tcW w:type="dxa" w:w="2960"/>
          </w:tcPr>
          <w:p>
            <w:r>
              <w:rPr>
                <w:sz w:val="20"/>
                <w:szCs w:val="20"/>
              </w:rPr>
              <w:t xml:space="preserve">Snowflake's built-in per-file load tracking already provides exactly-once loading; a custom table duplicates existing functionality.</w:t>
            </w:r>
          </w:p>
        </w:tc>
      </w:tr>
      <w:tr>
        <w:tc>
          <w:tcPr>
            <w:tcW w:type="dxa" w:w="1600"/>
          </w:tcPr>
          <w:p>
            <w:r>
              <w:rPr>
                <w:sz w:val="20"/>
                <w:szCs w:val="20"/>
              </w:rPr>
              <w:t xml:space="preserve">Repair logic</w:t>
            </w:r>
          </w:p>
        </w:tc>
        <w:tc>
          <w:tcPr>
            <w:tcW w:type="dxa" w:w="2400"/>
          </w:tcPr>
          <w:p>
            <w:r>
              <w:rPr>
                <w:sz w:val="20"/>
                <w:szCs w:val="20"/>
              </w:rPr>
              <w:t xml:space="preserve">Snowflake Python UDF</w:t>
            </w:r>
          </w:p>
        </w:tc>
        <w:tc>
          <w:tcPr>
            <w:tcW w:type="dxa" w:w="2400"/>
          </w:tcPr>
          <w:p>
            <w:r>
              <w:rPr>
                <w:sz w:val="20"/>
                <w:szCs w:val="20"/>
              </w:rPr>
              <w:t xml:space="preserve">SQL REGEXP_REPLACE chain</w:t>
            </w:r>
          </w:p>
        </w:tc>
        <w:tc>
          <w:tcPr>
            <w:tcW w:type="dxa" w:w="2960"/>
          </w:tcPr>
          <w:p>
            <w:r>
              <w:rPr>
                <w:sz w:val="20"/>
                <w:szCs w:val="20"/>
              </w:rPr>
              <w:t xml:space="preserve">Regex cannot reliably resolve the delimiter-vs-apostrophe ambiguity (tested and confirmed against real sample data); a stateful character scan is required.</w:t>
            </w:r>
          </w:p>
        </w:tc>
      </w:tr>
      <w:tr>
        <w:tc>
          <w:tcPr>
            <w:tcW w:type="dxa" w:w="1600"/>
          </w:tcPr>
          <w:p>
            <w:r>
              <w:rPr>
                <w:sz w:val="20"/>
                <w:szCs w:val="20"/>
              </w:rPr>
              <w:t xml:space="preserve">Outcome dictionary</w:t>
            </w:r>
          </w:p>
        </w:tc>
        <w:tc>
          <w:tcPr>
            <w:tcW w:type="dxa" w:w="2400"/>
          </w:tcPr>
          <w:p>
            <w:r>
              <w:rPr>
                <w:sz w:val="20"/>
                <w:szCs w:val="20"/>
              </w:rPr>
              <w:t xml:space="preserve">New CUSTOM_ACTIVITY_FIELDS dimension (all fields)</w:t>
            </w:r>
          </w:p>
        </w:tc>
        <w:tc>
          <w:tcPr>
            <w:tcW w:type="dxa" w:w="2400"/>
          </w:tcPr>
          <w:p>
            <w:r>
              <w:rPr>
                <w:sz w:val="20"/>
                <w:szCs w:val="20"/>
              </w:rPr>
              <w:t xml:space="preserve">Force-fit into PDF's single OUTCOME_ID/NAME columns</w:t>
            </w:r>
          </w:p>
        </w:tc>
        <w:tc>
          <w:tcPr>
            <w:tcW w:type="dxa" w:w="2960"/>
          </w:tcPr>
          <w:p>
            <w:r>
              <w:rPr>
                <w:sz w:val="20"/>
                <w:szCs w:val="20"/>
              </w:rPr>
              <w:t xml:space="preserve">Real data has multiple choice-type fields per activity type, not one canonical outcome; forcing a single pair would require arbitrarily discarding fields Gold-layer logic actually needs.</w:t>
            </w:r>
          </w:p>
        </w:tc>
      </w:tr>
      <w:tr>
        <w:tc>
          <w:tcPr>
            <w:tcW w:type="dxa" w:w="1600"/>
          </w:tcPr>
          <w:p>
            <w:r>
              <w:rPr>
                <w:sz w:val="20"/>
                <w:szCs w:val="20"/>
              </w:rPr>
              <w:t xml:space="preserve">Dedup logic</w:t>
            </w:r>
          </w:p>
        </w:tc>
        <w:tc>
          <w:tcPr>
            <w:tcW w:type="dxa" w:w="2400"/>
          </w:tcPr>
          <w:p>
            <w:r>
              <w:rPr>
                <w:sz w:val="20"/>
                <w:szCs w:val="20"/>
              </w:rPr>
              <w:t xml:space="preserve">MERGE INTO with MD5 hash comparison</w:t>
            </w:r>
          </w:p>
        </w:tc>
        <w:tc>
          <w:tcPr>
            <w:tcW w:type="dxa" w:w="2400"/>
          </w:tcPr>
          <w:p>
            <w:r>
              <w:rPr>
                <w:sz w:val="20"/>
                <w:szCs w:val="20"/>
              </w:rPr>
              <w:t xml:space="preserve">Full table rebuild each run</w:t>
            </w:r>
          </w:p>
        </w:tc>
        <w:tc>
          <w:tcPr>
            <w:tcW w:type="dxa" w:w="2960"/>
          </w:tcPr>
          <w:p>
            <w:r>
              <w:rPr>
                <w:sz w:val="20"/>
                <w:szCs w:val="20"/>
              </w:rPr>
              <w:t xml:space="preserve">Justified on Healthcare Metrics by very small total volume (&lt;500MB). Here, lead_activities_raw alone is ~194K+ rows and growing daily; Section 4.1 also explicitly specifies MERGE-based upserts.</w:t>
            </w:r>
          </w:p>
        </w:tc>
      </w:tr>
      <w:tr>
        <w:tc>
          <w:tcPr>
            <w:tcW w:type="dxa" w:w="1600"/>
          </w:tcPr>
          <w:p>
            <w:r>
              <w:rPr>
                <w:sz w:val="20"/>
                <w:szCs w:val="20"/>
              </w:rPr>
              <w:t xml:space="preserve">Export delivery</w:t>
            </w:r>
          </w:p>
        </w:tc>
        <w:tc>
          <w:tcPr>
            <w:tcW w:type="dxa" w:w="2400"/>
          </w:tcPr>
          <w:p>
            <w:r>
              <w:rPr>
                <w:sz w:val="20"/>
                <w:szCs w:val="20"/>
              </w:rPr>
              <w:t xml:space="preserve">COPY INTO flat files</w:t>
            </w:r>
          </w:p>
        </w:tc>
        <w:tc>
          <w:tcPr>
            <w:tcW w:type="dxa" w:w="2400"/>
          </w:tcPr>
          <w:p>
            <w:r>
              <w:rPr>
                <w:sz w:val="20"/>
                <w:szCs w:val="20"/>
              </w:rPr>
              <w:t xml:space="preserve">Build a dashboard tool now (Streamlit/Snowsight)</w:t>
            </w:r>
          </w:p>
        </w:tc>
        <w:tc>
          <w:tcPr>
            <w:tcW w:type="dxa" w:w="2960"/>
          </w:tcPr>
          <w:p>
            <w:r>
              <w:rPr>
                <w:sz w:val="20"/>
                <w:szCs w:val="20"/>
              </w:rPr>
              <w:t xml:space="preserve">Reporting-tool requirement (Open Item #6) has no positive evidence either way; flat files satisfy the stated Export Layer regardless of that answer, without committing effort to a guess.</w:t>
            </w:r>
          </w:p>
        </w:tc>
      </w:tr>
    </w:tbl>
    <w:p>
      <w:pPr>
        <w:pStyle w:val="Heading1"/>
        <w:spacing w:after="150" w:before="300"/>
      </w:pPr>
      <w:r>
        <w:t xml:space="preserve">10. Security Considerations</w:t>
      </w:r>
    </w:p>
    <w:p>
      <w:pPr>
        <w:pStyle w:val="ListParagraph"/>
        <w:numPr>
          <w:ilvl w:val="0"/>
          <w:numId w:val="1"/>
        </w:numPr>
        <w:spacing w:after="80"/>
      </w:pPr>
      <w:r>
        <w:t xml:space="preserve">PostgreSQL credentials are never embedded in code, Lambda environment variables, or Snowflake stage DDL — stored in AWS Secrets Manager and Snowflake Storage Integration (IAM role trust) respectively, despite the requirements doc itself containing a plaintext password in Section 2.</w:t>
      </w:r>
    </w:p>
    <w:p>
      <w:pPr>
        <w:pStyle w:val="ListParagraph"/>
        <w:numPr>
          <w:ilvl w:val="0"/>
          <w:numId w:val="1"/>
        </w:numPr>
        <w:spacing w:after="80"/>
      </w:pPr>
      <w:r>
        <w:t xml:space="preserve">Lambda execution role scoped to least privilege: read-only access to the specific Secrets Manager secret, write access to the S3 raw/ prefix only.</w:t>
      </w:r>
    </w:p>
    <w:p>
      <w:pPr>
        <w:pStyle w:val="ListParagraph"/>
        <w:numPr>
          <w:ilvl w:val="0"/>
          <w:numId w:val="1"/>
        </w:numPr>
        <w:spacing w:after="80"/>
      </w:pPr>
      <w:r>
        <w:t xml:space="preserve">Snowflake external stage uses Storage Integration rather than embedded AWS access keys, avoiding long-lived credential exposure.</w:t>
      </w:r>
    </w:p>
    <w:p>
      <w:pPr>
        <w:pStyle w:val="ListParagraph"/>
        <w:numPr>
          <w:ilvl w:val="0"/>
          <w:numId w:val="1"/>
        </w:numPr>
        <w:spacing w:after="80"/>
      </w:pPr>
      <w:r>
        <w:t xml:space="preserve">The training RDS instance is confirmed broadly network-accessible (verified via direct connection from a personal machine) — acceptable for disposable training infrastructure, but explicitly not representative of production security posture. Flagged here rather than left implicit.</w:t>
      </w:r>
    </w:p>
    <w:p>
      <w:pPr>
        <w:pStyle w:val="ListParagraph"/>
        <w:numPr>
          <w:ilvl w:val="0"/>
          <w:numId w:val="1"/>
        </w:numPr>
        <w:spacing w:after="80"/>
      </w:pPr>
      <w:r>
        <w:t xml:space="preserve">No PII beyond what the source CRM already exposes (names, emails) is introduced by this pipeline; no additional enrichment or cross-referencing with external data sources occurs.</w:t>
      </w:r>
    </w:p>
    <w:p>
      <w:pPr>
        <w:pStyle w:val="Heading1"/>
        <w:spacing w:after="150" w:before="300"/>
      </w:pPr>
      <w:r>
        <w:t xml:space="preserve">11. Open Items Pending SME Confirmation</w:t>
      </w:r>
    </w:p>
    <w:p>
      <w:pPr>
        <w:spacing w:after="160"/>
      </w:pPr>
      <w:r>
        <w:t xml:space="preserve">Per Section 5 of the requirements doc: “The end to end architecture and data modeling should be verified with the SME before proceeding with implementation.” This section is the explicit submission package for that review.</w:t>
      </w:r>
    </w:p>
    <w:p>
      <w:pPr>
        <w:pStyle w:val="Heading3"/>
        <w:spacing w:after="100" w:before="180"/>
      </w:pPr>
      <w:r>
        <w:t xml:space="preserve">Item #1 — Schema: raw vs. sales_raw</w:t>
      </w:r>
    </w:p>
    <w:p>
      <w:pPr>
        <w:spacing w:after="160"/>
      </w:pPr>
      <w:r>
        <w:t xml:space="preserve">The requirements doc's Section 2 connection table states schema "raw," but direct inspection found two schemas with overlapping table names and materially different row counts. sales_raw uniquely contains fathom_recordings_raw, matching "Fathom Call" — a custom activity type explicitly named in Section 2.2 of the requirements doc and absent from the raw schema entirely. This design proceeds on sales_raw as the correct schema. The extraction Lambda has since run successfully against sales_raw, producing sensible incremental row counts across all three tables (2,959 / negligible / 17,174 rows respectively on first run) with no structural surprises — additional practical evidence, though not a substitute for explicit SME confirmation. Status: working assumption, strong supporting evidence including successful implementation, not yet SME-confirmed.</w:t>
      </w:r>
    </w:p>
    <w:p>
      <w:pPr>
        <w:pStyle w:val="Heading3"/>
        <w:spacing w:after="100" w:before="180"/>
      </w:pPr>
      <w:r>
        <w:t xml:space="preserve">Item #2 — leads_raw scope</w:t>
      </w:r>
    </w:p>
    <w:p>
      <w:pPr>
        <w:spacing w:after="160"/>
      </w:pPr>
      <w:r>
        <w:t xml:space="preserve">leads_raw (~228,000 rows, actively updating) exists in both schemas but is not present in the Snowflake Bronze layer model, and none of the four required KPI reports reference any field unique to it. Assumed out of scope for this pipeline. Status: working assumption, documented rationale, not yet SME-confirmed.</w:t>
      </w:r>
    </w:p>
    <w:p>
      <w:pPr>
        <w:pStyle w:val="Heading3"/>
        <w:spacing w:after="100" w:before="180"/>
      </w:pPr>
      <w:r>
        <w:t xml:space="preserve">Item #3 — Postgres → S3 extraction mechanism</w:t>
      </w:r>
    </w:p>
    <w:p>
      <w:pPr>
        <w:spacing w:after="160"/>
      </w:pPr>
      <w:r>
        <w:t xml:space="preserve">Section 2 frames extraction as a student “Task” and provides raw Postgres credentials rather than a pre-built S3 landing location; this matches the pattern of every prior DEA capstone (Healthcare Metrics, Global Partners), where extraction infrastructure was built by the student rather than handed over pre-built. Assumed to be part of this project's deliverable, designed accordingly in Section 4.1. Status: working assumption, not yet SME-confirmed.</w:t>
      </w:r>
    </w:p>
    <w:p>
      <w:pPr>
        <w:pStyle w:val="Heading3"/>
        <w:spacing w:after="100" w:before="180"/>
      </w:pPr>
      <w:r>
        <w:t xml:space="preserve">Item #4 — WRAPPED_ACTIVITIES / CUSTOM_ACTIVITIES_ALL_LEADS_DETAILS</w:t>
      </w:r>
    </w:p>
    <w:p>
      <w:pPr>
        <w:spacing w:after="160"/>
      </w:pPr>
      <w:r>
        <w:t xml:space="preserve">This Silver-layer table and column, present in the Snowflake PDF, are not described anywhere in the requirements doc or the video walkthrough, and are not derivable from the Postgres source data through investigation. Status: genuinely open, requires SME clarification before this table can be designed.</w:t>
      </w:r>
    </w:p>
    <w:p>
      <w:pPr>
        <w:pStyle w:val="Heading3"/>
        <w:spacing w:after="100" w:before="180"/>
      </w:pPr>
      <w:r>
        <w:t xml:space="preserve">Item #5 — DEA_INTERNAL_NAME / DEA_INTERNAL_EMAIL</w:t>
      </w:r>
    </w:p>
    <w:p>
      <w:pPr>
        <w:spacing w:after="160"/>
      </w:pPr>
      <w:r>
        <w:t xml:space="preserve">Not documented in any source material. Direct investigation of close_crm_users_raw found the email domain dataengineeracademy.com appearing roughly 50x more frequently than any other domain, a strong candidate signal for these columns. Implemented as an IS_INTERNAL flag on GOLD.DIM_USERS, kept queryable rather than used to silently exclude rows. Status: working assumption with strong supporting evidence, not yet SME-confirmed.</w:t>
      </w:r>
    </w:p>
    <w:p>
      <w:pPr>
        <w:pStyle w:val="Heading3"/>
        <w:spacing w:after="100" w:before="180"/>
      </w:pPr>
      <w:r>
        <w:t xml:space="preserve">Item #6 — Reporting / visualization tool (RESOLVED)</w:t>
      </w:r>
    </w:p>
    <w:p>
      <w:pPr>
        <w:spacing w:after="160"/>
      </w:pPr>
      <w:r>
        <w:t xml:space="preserve">No tool was named anywhere across the requirements doc, video transcript, or Snowflake PDF. SME review confirmed this was intentionally left for this design to propose. Two options were presented in Section 5. The SME's subsequent Export Layer answer — “if within snowflake then I think you can use the tables and query directly” — confirms Streamlit in Snowflake (Option A) as the correct direction, since it reads Gold views directly with no export step required. Implemented and deployed; see Section 5.1 and Section 12.</w:t>
      </w:r>
    </w:p>
    <w:p>
      <w:pPr>
        <w:pStyle w:val="Heading3"/>
        <w:spacing w:after="100" w:before="180"/>
      </w:pPr>
      <w:r>
        <w:t xml:space="preserve">Item #7 — Outcome value duplication (RESOLVED)</w:t>
      </w:r>
    </w:p>
    <w:p>
      <w:pPr>
        <w:spacing w:after="160"/>
      </w:pPr>
      <w:r>
        <w:t xml:space="preserve">Initially appeared in Section 3.2.2 of the requirements doc as duplicate outcome values under different numbering (e.g. '3. No Show' vs. '4. No Show'). Direct data investigation resolved this: these are not duplicates, but values from distinct CRM fields (Follow Up Call Outcome vs. Strategy Call Outcome) that happen to share label text. Addressed architecturally via the CUSTOM_ACTIVITY_FIELDS dictionary (Section 4.3) and field-scoped funnel classification logic (Section 4.4). No longer open.</w:t>
      </w:r>
    </w:p>
    <w:p>
      <w:pPr>
        <w:pStyle w:val="Heading1"/>
        <w:spacing w:after="150" w:before="300"/>
      </w:pPr>
      <w:r>
        <w:t xml:space="preserve">12. Production Validation &amp; Data Quality Findings</w:t>
      </w:r>
    </w:p>
    <w:p>
      <w:pPr>
        <w:spacing w:after="160"/>
      </w:pPr>
      <w:r>
        <w:t xml:space="preserve">Once real, full-volume data began flowing through the deployed pipeline, six distinct issues surfaced that had not been visible during initial development against smaller or partial data. Each is documented here as evidence of active validation against production data, per this project's established practice of treating pipeline execution success and output correctness as separate questions — all six were caught precisely because row counts, join results, and displayed metrics were checked against expected values rather than assumed correct once code ran without error.</w:t>
      </w:r>
    </w:p>
    <w:p>
      <w:pPr>
        <w:pStyle w:val="Heading3"/>
        <w:spacing w:after="100" w:before="180"/>
      </w:pPr>
      <w:r>
        <w:t xml:space="preserve">Finding #1 — Bronze payload/insert_date structural mismatch</w:t>
      </w:r>
    </w:p>
    <w:p>
      <w:pPr>
        <w:spacing w:after="160"/>
      </w:pPr>
      <w:r>
        <w:t xml:space="preserve">The extraction Lambda wrote each row's raw_data content directly to S3 with no wrapper, while Bronze's COPY INTO statements expected a {payload, insert_date} wrapper shape. This meant $1:payload resolved to NULL for every row in every table — COPY INTO does not reject NULL results, so row counts looked normal while content was silently empty. Confirmed via PARSE_FAILURES landing exactly 100% of the two malformed-string tables' row counts, and LEAD_ACTIVITIES_PROCESSED sitting at 0 rows despite thousands of real Bronze rows. Fixed by wrapping the Lambda's output to match the contract Bronze had always expected.</w:t>
      </w:r>
    </w:p>
    <w:p>
      <w:pPr>
        <w:pStyle w:val="Heading3"/>
        <w:spacing w:after="100" w:before="180"/>
      </w:pPr>
      <w:r>
        <w:t xml:space="preserve">Finding #2 — Stale pre-fix files reloaded via FORCE=TRUE</w:t>
      </w:r>
    </w:p>
    <w:p>
      <w:pPr>
        <w:spacing w:after="160"/>
      </w:pPr>
      <w:r>
        <w:t xml:space="preserve">Remediating Finding #1 required force-reloading already-staged files, which inadvertently reloaded older, pre-fix files still sitting in earlier S3 date partitions alongside the corrected ones, roughly doubling row counts. Resolved by deleting the pre-fix S3 partitions before repeating the truncate-and-reload, leaving only correctly-wrapped files in the stage path.</w:t>
      </w:r>
    </w:p>
    <w:p>
      <w:pPr>
        <w:pStyle w:val="Heading3"/>
        <w:spacing w:after="100" w:before="180"/>
      </w:pPr>
      <w:r>
        <w:t xml:space="preserve">Finding #3 — CUSTOM_ACTIVITY_FIELDS never deduplicated</w:t>
      </w:r>
    </w:p>
    <w:p>
      <w:pPr>
        <w:spacing w:after="160"/>
      </w:pPr>
      <w:r>
        <w:t xml:space="preserve">This Silver table rebuilt from the full custom activity catalog on every run with no deduplication logic, unlike every other Silver table. At meaningful data volume this produced roughly 52x row inflation (7,025 rows for 134 distinct fields) as the same catalog repeated across daily snapshots. Fixed by deduplicating on the (field_id, activity_type_id) pair — not field_id alone, since some fields are legitimately shared across multiple activity types (e.g. "Closer" appears on both Strategy Call and its Follow Up) and collapsing to one row per field_id would have silently erased that association.</w:t>
      </w:r>
    </w:p>
    <w:p>
      <w:pPr>
        <w:pStyle w:val="Heading3"/>
        <w:spacing w:after="100" w:before="180"/>
      </w:pPr>
      <w:r>
        <w:t xml:space="preserve">Finding #4 — FACT_LEAD_FUNNEL's foundational key-structure assumption</w:t>
      </w:r>
    </w:p>
    <w:p>
      <w:pPr>
        <w:spacing w:after="160"/>
      </w:pPr>
      <w:r>
        <w:t xml:space="preserve">The view assumed custom.cf_XXXX fields were nested under a "custom" object key. Direct inspection of real activity records showed these are flat top-level keys with a literal period in the key name (e.g. "custom.cf_3JFRKeLp...") — there is no nested "custom" object anywhere in the data. This matches the requirements doc's own Phase 3 language ("extracting keys containing %custom.%", a LIKE-style wildcard describing a flat prefix) which was correct all along and simply not followed in the original implementation. This single structural error meant the view had returned zero rows since its original design, regardless of how much valid data existed upstream. Also newly enforced: filtering to _type = 'CustomActivity' only, confirmed necessary after finding the other six activity types (SMS, Call, Email, Note, Meeting, Created, LeadMerge — 91% of all lead activities) carry no custom.* keys at all.</w:t>
      </w:r>
    </w:p>
    <w:p>
      <w:pPr>
        <w:pStyle w:val="Heading3"/>
        <w:spacing w:after="100" w:before="180"/>
      </w:pPr>
      <w:r>
        <w:t xml:space="preserve">Finding #5 — LEAD_ACTIVITIES_PROCESSED's MERGE key was NULL for every row</w:t>
      </w:r>
    </w:p>
    <w:p>
      <w:pPr>
        <w:spacing w:after="160"/>
      </w:pPr>
      <w:r>
        <w:t xml:space="preserve">The most consequential finding: the MERGE logic extracted activity_record:activity_id, but real activity records have no such key — the actual field is simply "id". Since NULL never equals NULL in SQL, the MERGE's match condition (tgt.activity_id = src.activity_id) had never matched a single row since this pipeline first went live. Every daily Postgres snapshot re-inserted the same recurring activities as brand-new rows instead of updating existing ones, silently defeating the deduplication Section 4.1 of the requirements doc calls for. Confirmed and fixed; after truncating and rebuilding, total row count and distinct activity_id count landed on the identical figure (70,918), confirming deduplication is now genuinely functioning for the first time.</w:t>
      </w:r>
    </w:p>
    <w:p>
      <w:pPr>
        <w:pStyle w:val="Heading3"/>
        <w:spacing w:after="100" w:before="180"/>
      </w:pPr>
      <w:r>
        <w:t xml:space="preserve">Finding #6 — Streamlit dashboard's naive average-of-percentages metric</w:t>
      </w:r>
    </w:p>
    <w:p>
      <w:pPr>
        <w:spacing w:after="160"/>
      </w:pPr>
      <w:r>
        <w:t xml:space="preserve">Not a data or SQL bug — a presentation-layer one. Summary metrics computed an unweighted mean of already-aggregated daily percentage columns, which distorts toward small-volume days. Confirmed directly: this approach displayed a 98.7% show rate against a correctly pooled rate of 87.8% on identical underlying data. Fixed by computing pooled rates from summed numerators and denominators rather than averaging pre-computed percentages.</w:t>
      </w:r>
    </w:p>
    <w:p>
      <w:pPr>
        <w:pStyle w:val="Heading3"/>
        <w:spacing w:after="100" w:before="180"/>
      </w:pPr>
      <w:r>
        <w:t xml:space="preserve">Additional resolved item — IS_INTERNAL filter</w:t>
      </w:r>
    </w:p>
    <w:p>
      <w:pPr>
        <w:spacing w:after="160"/>
      </w:pPr>
      <w:r>
        <w:t xml:space="preserve">Direct investigation found every Setter/Closer in the current dataset resolves to a dataengineeracademy.com account — filtering WHERE NOT IS_INTERNAL (Open Item #5's original design) zeroed out every report entirely. The filter was temporarily removed from all Gold KPI/report views pending SME clarification on whether DEA staff activity is meant to BE the simulated sales team for this dataset. The IS_INTERNAL flag itself remains intact on DIM_USERS, so the filter can be reinstated in any specific view without a rebuild once clarified.</w:t>
      </w:r>
    </w:p>
    <w:p>
      <w:pPr>
        <w:pStyle w:val="Heading3"/>
        <w:spacing w:after="100" w:before="180"/>
      </w:pPr>
      <w:r>
        <w:t xml:space="preserve">7-Day Production Simulation (Section 5 requirement) — CONFIRMED COMPLETE</w:t>
      </w:r>
    </w:p>
    <w:p>
      <w:pPr>
        <w:spacing w:after="160"/>
      </w:pPr>
      <w:r>
        <w:t xml:space="preserve">Verified directly via Snowflake's TASK_HISTORY, not inferred from elapsed calendar time: all three pipeline Tasks (BRONZE_LOAD_TASK, BRONZE_RECONCILIATION_TASK, SILVER_PROCESS_TASK) show SUCCEEDED status across 7 consecutive calendar days, executing in correct dependency order each day with no failures, gaps, or task suspensions.</w:t>
      </w:r>
    </w:p>
    <w:p>
      <w:pPr>
        <w:pStyle w:val="Heading1"/>
        <w:spacing w:after="150" w:before="300"/>
      </w:pPr>
      <w:r>
        <w:t xml:space="preserve">13. Next Steps</w:t>
      </w:r>
    </w:p>
    <w:p>
      <w:pPr>
        <w:pStyle w:val="ListParagraph"/>
        <w:numPr>
          <w:ilvl w:val="0"/>
          <w:numId w:val="1"/>
        </w:numPr>
        <w:spacing w:after="80"/>
      </w:pPr>
      <w:r>
        <w:t xml:space="preserve">Send Avirup a specific validation date (identified via querying for the highest-volume day with sufficient runway for funnel completion) to receive the reference report snapshot for result verification, per Section 6 of the requirements doc.</w:t>
      </w:r>
    </w:p>
    <w:p>
      <w:pPr>
        <w:pStyle w:val="ListParagraph"/>
        <w:numPr>
          <w:ilvl w:val="0"/>
          <w:numId w:val="1"/>
        </w:numPr>
        <w:spacing w:after="80"/>
      </w:pPr>
      <w:r>
        <w:t xml:space="preserve">Compare Gold-layer KPI output against the reference snapshot once received; investigate and resolve any discrepancies in funnel-stage classification logic, which remains first-pass and unvalidated against ground truth independent of the six findings in Section 12 (all of which were pipeline/structural bugs, not business-logic validation).</w:t>
      </w:r>
    </w:p>
    <w:p>
      <w:pPr>
        <w:pStyle w:val="ListParagraph"/>
        <w:numPr>
          <w:ilvl w:val="0"/>
          <w:numId w:val="1"/>
        </w:numPr>
        <w:spacing w:after="80"/>
      </w:pPr>
      <w:r>
        <w:t xml:space="preserve">Revisit Items #1, #2, #3, and #5 (working assumptions) if SME feedback contradicts the evidence-based reasoning documented above; each is designed to be reversible without a full rebuild.</w:t>
      </w:r>
    </w:p>
    <w:p>
      <w:pPr>
        <w:pStyle w:val="ListParagraph"/>
        <w:numPr>
          <w:ilvl w:val="0"/>
          <w:numId w:val="1"/>
        </w:numPr>
        <w:spacing w:after="80"/>
      </w:pPr>
      <w:r>
        <w:t xml:space="preserve">Confirm with the SME whether DEA-staff (dataengineeracademy.com) activity should be included or excluded from setter/closer attribution (see Additional Resolved Item, Section 12), to determine whether the IS_INTERNAL filter should be reinstated.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2026-09-05T19:49:16.054Z</dcterms:created>
  <dcterms:modified xsi:type="dcterms:W3CDTF">2026-09-05T19:49:16.066Z</dcterms:modified>
</cp:coreProperties>
</file>

<file path=docProps/custom.xml><?xml version="1.0" encoding="utf-8"?>
<Properties xmlns="http://schemas.openxmlformats.org/officeDocument/2006/custom-properties" xmlns:vt="http://schemas.openxmlformats.org/officeDocument/2006/docPropsVTypes"/>
</file>