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study was c</w:t>
      </w:r>
      <w:r w:rsidR="007D295D">
        <w:rPr>
          <w:rFonts w:ascii="Century Gothic" w:hAnsi="Century Gothic"/>
          <w:sz w:val="20"/>
          <w:szCs w:val="20"/>
        </w:rPr>
        <w:t xml:space="preserve">onducted at five (5) hospitals:  </w:t>
      </w:r>
      <w:r>
        <w:rPr>
          <w:rFonts w:ascii="Century Gothic" w:hAnsi="Century Gothic"/>
          <w:sz w:val="20"/>
          <w:szCs w:val="20"/>
        </w:rPr>
        <w:t>Harare Hospital</w:t>
      </w:r>
      <w:r w:rsidR="007D295D">
        <w:rPr>
          <w:rFonts w:ascii="Century Gothic" w:hAnsi="Century Gothic"/>
          <w:sz w:val="20"/>
          <w:szCs w:val="20"/>
        </w:rPr>
        <w:t xml:space="preserve"> (</w:t>
      </w:r>
      <w:proofErr w:type="gramStart"/>
      <w:r w:rsidR="007D295D">
        <w:rPr>
          <w:rFonts w:ascii="Century Gothic" w:hAnsi="Century Gothic"/>
          <w:sz w:val="20"/>
          <w:szCs w:val="20"/>
        </w:rPr>
        <w:t>%</w:t>
      </w:r>
      <w:proofErr w:type="gramEnd"/>
      <w:r w:rsidR="007D295D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>, Parirenyatwa Hospital</w:t>
      </w:r>
      <w:r w:rsidR="007D295D">
        <w:rPr>
          <w:rFonts w:ascii="Century Gothic" w:hAnsi="Century Gothic"/>
          <w:sz w:val="20"/>
          <w:szCs w:val="20"/>
        </w:rPr>
        <w:t xml:space="preserve"> (%)</w:t>
      </w:r>
      <w:r>
        <w:rPr>
          <w:rFonts w:ascii="Century Gothic" w:hAnsi="Century Gothic"/>
          <w:sz w:val="20"/>
          <w:szCs w:val="20"/>
        </w:rPr>
        <w:t>, Howard Hospital</w:t>
      </w:r>
      <w:r w:rsidR="007D295D">
        <w:rPr>
          <w:rFonts w:ascii="Century Gothic" w:hAnsi="Century Gothic"/>
          <w:sz w:val="20"/>
          <w:szCs w:val="20"/>
        </w:rPr>
        <w:t xml:space="preserve"> (%)</w:t>
      </w:r>
      <w:r>
        <w:rPr>
          <w:rFonts w:ascii="Century Gothic" w:hAnsi="Century Gothic"/>
          <w:sz w:val="20"/>
          <w:szCs w:val="20"/>
        </w:rPr>
        <w:t>, Gweru Hospital</w:t>
      </w:r>
      <w:r w:rsidR="007D295D">
        <w:rPr>
          <w:rFonts w:ascii="Century Gothic" w:hAnsi="Century Gothic"/>
          <w:sz w:val="20"/>
          <w:szCs w:val="20"/>
        </w:rPr>
        <w:t xml:space="preserve"> (%) and Mpilo Hospital (%) with</w:t>
      </w:r>
      <w:r w:rsidR="00C77C13">
        <w:rPr>
          <w:rFonts w:ascii="Century Gothic" w:hAnsi="Century Gothic"/>
          <w:sz w:val="20"/>
          <w:szCs w:val="20"/>
        </w:rPr>
        <w:t xml:space="preserve"> post and pre service students. </w:t>
      </w:r>
      <w:r w:rsidR="007D295D">
        <w:rPr>
          <w:rFonts w:ascii="Century Gothic" w:hAnsi="Century Gothic"/>
          <w:sz w:val="20"/>
          <w:szCs w:val="20"/>
        </w:rPr>
        <w:t xml:space="preserve"> The clinical site for two () participants was not captured. </w:t>
      </w:r>
    </w:p>
    <w:p w:rsidR="007D295D" w:rsidRPr="00D32714" w:rsidRDefault="007D295D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7D5A5C" w:rsidRDefault="007D5A5C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Laboratory 6 (5.36%), Medical 41(36.61%), Nursing/midwifery 54 (48.21%), Pharmacy 3 (2.68%) and Other 8 (2.68%). </w:t>
      </w:r>
    </w:p>
    <w:p w:rsidR="00A93C63" w:rsidRDefault="00A93C63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Female 58 (51.79%</w:t>
      </w:r>
      <w:proofErr w:type="gramStart"/>
      <w:r>
        <w:rPr>
          <w:rFonts w:ascii="Century Gothic" w:hAnsi="Century Gothic"/>
          <w:sz w:val="20"/>
          <w:szCs w:val="20"/>
        </w:rPr>
        <w:t>) ,</w:t>
      </w:r>
      <w:proofErr w:type="gramEnd"/>
      <w:r>
        <w:rPr>
          <w:rFonts w:ascii="Century Gothic" w:hAnsi="Century Gothic"/>
          <w:sz w:val="20"/>
          <w:szCs w:val="20"/>
        </w:rPr>
        <w:t xml:space="preserve"> Male 41 (36.61%) and Other 13 (11.61%) </w:t>
      </w:r>
    </w:p>
    <w:p w:rsidR="007D295D" w:rsidRDefault="007D295D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Postgraduate 1 (0.89%) and Pre service 111 (99.11%)</w:t>
      </w:r>
    </w:p>
    <w:p w:rsidR="00241200" w:rsidRDefault="00241200" w:rsidP="00030813">
      <w:pPr>
        <w:rPr>
          <w:rFonts w:ascii="Century Gothic" w:hAnsi="Century Gothic"/>
          <w:b/>
          <w:sz w:val="20"/>
          <w:szCs w:val="20"/>
        </w:rPr>
      </w:pP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686951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The pretest posttest analysis reveals statistically significant gains in knowledge for each module and all modules combined. </w:t>
      </w:r>
    </w:p>
    <w:p w:rsidR="00686951" w:rsidRPr="00CF4EEB" w:rsidRDefault="00686951" w:rsidP="00030813">
      <w:pPr>
        <w:rPr>
          <w:rFonts w:ascii="Century Gothic" w:hAnsi="Century Gothic"/>
          <w:sz w:val="20"/>
          <w:szCs w:val="20"/>
        </w:rPr>
      </w:pP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Mean change in test score (posttest minus pretest)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Among-student variation 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Within-student variation </w:t>
      </w:r>
    </w:p>
    <w:p w:rsidR="00030813" w:rsidRDefault="00030813" w:rsidP="0044022D">
      <w:pPr>
        <w:rPr>
          <w:rFonts w:ascii="Century Gothic" w:hAnsi="Century Gothic"/>
          <w:sz w:val="20"/>
          <w:szCs w:val="20"/>
        </w:rPr>
      </w:pPr>
    </w:p>
    <w:p w:rsidR="00C77C13" w:rsidRDefault="00C77C13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302934" w:rsidRDefault="00302934" w:rsidP="0044022D">
      <w:pPr>
        <w:rPr>
          <w:rFonts w:ascii="Century Gothic" w:hAnsi="Century Gothic"/>
          <w:sz w:val="20"/>
          <w:szCs w:val="20"/>
        </w:rPr>
      </w:pPr>
    </w:p>
    <w:p w:rsidR="00C77C13" w:rsidRPr="00CF4EEB" w:rsidRDefault="00C77C13" w:rsidP="00C77C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lastRenderedPageBreak/>
        <w:t>Results</w:t>
      </w:r>
    </w:p>
    <w:p w:rsidR="00C77C13" w:rsidRDefault="00302934" w:rsidP="0044022D">
      <w:pPr>
        <w:rPr>
          <w:rFonts w:ascii="Century Gothic" w:hAnsi="Century Gothic"/>
          <w:sz w:val="20"/>
          <w:szCs w:val="20"/>
        </w:rPr>
      </w:pPr>
      <w:r w:rsidRPr="00302934">
        <w:rPr>
          <w:rFonts w:ascii="Century Gothic" w:hAnsi="Century Gothic"/>
          <w:sz w:val="20"/>
          <w:szCs w:val="20"/>
        </w:rPr>
        <w:t>The study’s design generated appropriate data, while a statistical test was necessary to deter-mine significant differences between pretest and posttest means (Improvement, i</w:t>
      </w:r>
      <w:r w:rsidR="001246EF">
        <w:rPr>
          <w:rFonts w:ascii="Century Gothic" w:hAnsi="Century Gothic"/>
          <w:sz w:val="20"/>
          <w:szCs w:val="20"/>
        </w:rPr>
        <w:t xml:space="preserve">.e., the dependent variable). We </w:t>
      </w:r>
      <w:bookmarkStart w:id="0" w:name="_GoBack"/>
      <w:bookmarkEnd w:id="0"/>
      <w:r w:rsidRPr="00302934">
        <w:rPr>
          <w:rFonts w:ascii="Century Gothic" w:hAnsi="Century Gothic"/>
          <w:sz w:val="20"/>
          <w:szCs w:val="20"/>
        </w:rPr>
        <w:t>applied a paired-sample t test to each of the six sections of the course Statistical Analysis.</w:t>
      </w:r>
    </w:p>
    <w:p w:rsidR="00302934" w:rsidRPr="00CF4EEB" w:rsidRDefault="00302934" w:rsidP="0044022D">
      <w:pPr>
        <w:rPr>
          <w:rFonts w:ascii="Century Gothic" w:hAnsi="Century Gothic"/>
          <w:sz w:val="20"/>
          <w:szCs w:val="20"/>
        </w:rPr>
      </w:pPr>
      <w:r w:rsidRPr="00302934">
        <w:rPr>
          <w:rFonts w:ascii="Century Gothic" w:hAnsi="Century Gothic"/>
          <w:sz w:val="20"/>
          <w:szCs w:val="20"/>
        </w:rPr>
        <w:t>Pretest-posttest means, standard deviations, and differences for each class taught and all classes combined appear in Table 2. The table displays the mean percentages of correct responses for the pre-tests and posttests. The difference between means is statistically significant for each course and all courses combined (t = 22.0, p &lt; .001), revealing substantial improvement (i.e., knowledge gain) in test scores. The overall mean pretest score (per-</w:t>
      </w:r>
      <w:proofErr w:type="spellStart"/>
      <w:r w:rsidRPr="00302934">
        <w:rPr>
          <w:rFonts w:ascii="Century Gothic" w:hAnsi="Century Gothic"/>
          <w:sz w:val="20"/>
          <w:szCs w:val="20"/>
        </w:rPr>
        <w:t>centage</w:t>
      </w:r>
      <w:proofErr w:type="spellEnd"/>
      <w:r w:rsidRPr="00302934">
        <w:rPr>
          <w:rFonts w:ascii="Century Gothic" w:hAnsi="Century Gothic"/>
          <w:sz w:val="20"/>
          <w:szCs w:val="20"/>
        </w:rPr>
        <w:t xml:space="preserve"> correct) is 43.9 percent, compared with the mean posttest score of 64.8 percent. This difference between the pretest and posttest mean equals 20.9 percent. Given the significant paired-sample t tests, I conclude that </w:t>
      </w:r>
      <w:proofErr w:type="spellStart"/>
      <w:r w:rsidRPr="00302934">
        <w:rPr>
          <w:rFonts w:ascii="Century Gothic" w:hAnsi="Century Gothic"/>
          <w:sz w:val="20"/>
          <w:szCs w:val="20"/>
        </w:rPr>
        <w:t>studentsâ</w:t>
      </w:r>
      <w:proofErr w:type="spellEnd"/>
      <w:r w:rsidRPr="00302934">
        <w:rPr>
          <w:rFonts w:ascii="Century Gothic" w:hAnsi="Century Gothic"/>
          <w:sz w:val="20"/>
          <w:szCs w:val="20"/>
        </w:rPr>
        <w:t xml:space="preserve">€™ social statistics </w:t>
      </w:r>
      <w:proofErr w:type="spellStart"/>
      <w:r w:rsidRPr="00302934">
        <w:rPr>
          <w:rFonts w:ascii="Century Gothic" w:hAnsi="Century Gothic"/>
          <w:sz w:val="20"/>
          <w:szCs w:val="20"/>
        </w:rPr>
        <w:t>knowl</w:t>
      </w:r>
      <w:proofErr w:type="spellEnd"/>
      <w:r w:rsidRPr="00302934">
        <w:rPr>
          <w:rFonts w:ascii="Century Gothic" w:hAnsi="Century Gothic"/>
          <w:sz w:val="20"/>
          <w:szCs w:val="20"/>
        </w:rPr>
        <w:t>-edge was greater at the end of the semester than at the beginning of the semester. This increased learn-</w:t>
      </w:r>
      <w:proofErr w:type="spellStart"/>
      <w:r w:rsidRPr="00302934">
        <w:rPr>
          <w:rFonts w:ascii="Century Gothic" w:hAnsi="Century Gothic"/>
          <w:sz w:val="20"/>
          <w:szCs w:val="20"/>
        </w:rPr>
        <w:t>ing</w:t>
      </w:r>
      <w:proofErr w:type="spellEnd"/>
      <w:r w:rsidRPr="00302934">
        <w:rPr>
          <w:rFonts w:ascii="Century Gothic" w:hAnsi="Century Gothic"/>
          <w:sz w:val="20"/>
          <w:szCs w:val="20"/>
        </w:rPr>
        <w:t xml:space="preserve"> occurred in addition to the effects of </w:t>
      </w:r>
      <w:proofErr w:type="spellStart"/>
      <w:r w:rsidRPr="00302934">
        <w:rPr>
          <w:rFonts w:ascii="Century Gothic" w:hAnsi="Century Gothic"/>
          <w:sz w:val="20"/>
          <w:szCs w:val="20"/>
        </w:rPr>
        <w:t>studentsâ</w:t>
      </w:r>
      <w:proofErr w:type="spellEnd"/>
      <w:r w:rsidRPr="00302934">
        <w:rPr>
          <w:rFonts w:ascii="Century Gothic" w:hAnsi="Century Gothic"/>
          <w:sz w:val="20"/>
          <w:szCs w:val="20"/>
        </w:rPr>
        <w:t>€™ prior knowledge, as measured by the pretest. Consequently, it is unlikely that gains in learning</w:t>
      </w: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30813"/>
    <w:rsid w:val="001246EF"/>
    <w:rsid w:val="00241200"/>
    <w:rsid w:val="002F08D2"/>
    <w:rsid w:val="00302934"/>
    <w:rsid w:val="00381D45"/>
    <w:rsid w:val="004045E0"/>
    <w:rsid w:val="0044022D"/>
    <w:rsid w:val="005E59C9"/>
    <w:rsid w:val="00670850"/>
    <w:rsid w:val="00686951"/>
    <w:rsid w:val="007D295D"/>
    <w:rsid w:val="007D5A5C"/>
    <w:rsid w:val="00A56CE9"/>
    <w:rsid w:val="00A84183"/>
    <w:rsid w:val="00A93C63"/>
    <w:rsid w:val="00AD33A8"/>
    <w:rsid w:val="00C77C13"/>
    <w:rsid w:val="00CF4EEB"/>
    <w:rsid w:val="00D32714"/>
    <w:rsid w:val="00E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BE7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 Munjoma</cp:lastModifiedBy>
  <cp:revision>19</cp:revision>
  <dcterms:created xsi:type="dcterms:W3CDTF">2021-01-14T06:45:00Z</dcterms:created>
  <dcterms:modified xsi:type="dcterms:W3CDTF">2021-01-14T09:00:00Z</dcterms:modified>
</cp:coreProperties>
</file>