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sz w:val="28"/>
        </w:rPr>
        <w:t>NHI Use Case Documentation</w:t>
      </w:r>
    </w:p>
    <w:p>
      <w:r>
        <w:rPr>
          <w:i/>
        </w:rPr>
        <w:t>Covers the foundational segmentation use case plus the dependent technical/security use cases: Gold Mine remediation and Exposed Secret alerting.</w:t>
      </w:r>
    </w:p>
    <w:p>
      <w:r>
        <w:t>Structure: Part A — Segmentation (Foundational). Part B — Gold Mine Remediation. Part C — Exposed Secret / Token Workflow.</w:t>
      </w:r>
    </w:p>
    <w:p>
      <w:r>
        <w:rPr>
          <w:b/>
          <w:sz w:val="28"/>
        </w:rPr>
        <w:t>Part A — Segmentation (Foundational Use Case)</w:t>
      </w:r>
    </w:p>
    <w:p>
      <w:r>
        <w:br w:type="page"/>
      </w:r>
    </w:p>
    <w:p>
      <w:pPr>
        <w:jc w:val="center"/>
      </w:pPr>
      <w:r>
        <w:br/>
        <w:br/>
      </w:r>
      <w:r>
        <w:rPr>
          <w:b/>
          <w:color w:val="17365D"/>
          <w:sz w:val="50"/>
        </w:rPr>
        <w:t>Entro Segmentation</w:t>
        <w:br/>
        <w:t>Technical Process &amp; Operating Guide</w:t>
      </w:r>
    </w:p>
    <w:p>
      <w:pPr>
        <w:jc w:val="center"/>
      </w:pPr>
      <w:r>
        <w:rPr>
          <w:color w:val="595959"/>
          <w:sz w:val="24"/>
        </w:rPr>
        <w:t>Draft v0.1 | August 10, 2026</w:t>
      </w:r>
    </w:p>
    <w:p/>
    <w:tbl>
      <w:tblPr>
        <w:tblStyle w:val="TableGrid"/>
        <w:tblW w:type="auto" w:w="0"/>
        <w:jc w:val="center"/>
        <w:tblLook w:firstColumn="1" w:firstRow="1" w:lastColumn="0" w:lastRow="0" w:noHBand="0" w:noVBand="1" w:val="04A0"/>
      </w:tblPr>
      <w:tblGrid>
        <w:gridCol w:w="5112"/>
        <w:gridCol w:w="5112"/>
      </w:tblGrid>
      <w:tr>
        <w:tc>
          <w:tcPr>
            <w:tcW w:type="dxa" w:w="2448"/>
            <w:shd w:fill="D9E2F3"/>
            <w:vAlign w:val="center"/>
            <w:tcMar>
              <w:top w:w="90" w:type="dxa"/>
              <w:start w:w="90" w:type="dxa"/>
              <w:bottom w:w="90" w:type="dxa"/>
              <w:end w:w="90" w:type="dxa"/>
            </w:tcMar>
          </w:tcPr>
          <w:p>
            <w:r>
              <w:rPr>
                <w:b/>
                <w:sz w:val="18"/>
              </w:rPr>
              <w:t>Document field</w:t>
            </w:r>
          </w:p>
        </w:tc>
        <w:tc>
          <w:tcPr>
            <w:tcW w:type="dxa" w:w="8352"/>
            <w:shd w:fill="D9E2F3"/>
            <w:vAlign w:val="center"/>
            <w:tcMar>
              <w:top w:w="90" w:type="dxa"/>
              <w:start w:w="90" w:type="dxa"/>
              <w:bottom w:w="90" w:type="dxa"/>
              <w:end w:w="90" w:type="dxa"/>
            </w:tcMar>
          </w:tcPr>
          <w:p>
            <w:r>
              <w:rPr>
                <w:b/>
                <w:sz w:val="18"/>
              </w:rPr>
              <w:t>Value</w:t>
            </w:r>
          </w:p>
        </w:tc>
      </w:tr>
      <w:tr>
        <w:tc>
          <w:tcPr>
            <w:tcW w:type="dxa" w:w="2448"/>
            <w:vAlign w:val="top"/>
            <w:tcMar>
              <w:top w:w="90" w:type="dxa"/>
              <w:start w:w="90" w:type="dxa"/>
              <w:bottom w:w="90" w:type="dxa"/>
              <w:end w:w="90" w:type="dxa"/>
            </w:tcMar>
          </w:tcPr>
          <w:p>
            <w:r>
              <w:rPr>
                <w:sz w:val="18"/>
              </w:rPr>
              <w:t>Purpose</w:t>
            </w:r>
          </w:p>
        </w:tc>
        <w:tc>
          <w:tcPr>
            <w:tcW w:type="dxa" w:w="8352"/>
            <w:vAlign w:val="top"/>
            <w:tcMar>
              <w:top w:w="90" w:type="dxa"/>
              <w:start w:w="90" w:type="dxa"/>
              <w:bottom w:w="90" w:type="dxa"/>
              <w:end w:w="90" w:type="dxa"/>
            </w:tcMar>
          </w:tcPr>
          <w:p>
            <w:r>
              <w:rPr>
                <w:sz w:val="18"/>
              </w:rPr>
              <w:t>Document how segmentation is configured, validated, and operated in Entro, including current limitations and required follow-up.</w:t>
            </w:r>
          </w:p>
        </w:tc>
      </w:tr>
      <w:tr>
        <w:tc>
          <w:tcPr>
            <w:tcW w:type="dxa" w:w="2448"/>
            <w:vAlign w:val="top"/>
            <w:tcMar>
              <w:top w:w="90" w:type="dxa"/>
              <w:start w:w="90" w:type="dxa"/>
              <w:bottom w:w="90" w:type="dxa"/>
              <w:end w:w="90" w:type="dxa"/>
            </w:tcMar>
          </w:tcPr>
          <w:p>
            <w:r>
              <w:rPr>
                <w:sz w:val="18"/>
              </w:rPr>
              <w:t>Primary systems</w:t>
            </w:r>
          </w:p>
        </w:tc>
        <w:tc>
          <w:tcPr>
            <w:tcW w:type="dxa" w:w="8352"/>
            <w:vAlign w:val="top"/>
            <w:tcMar>
              <w:top w:w="90" w:type="dxa"/>
              <w:start w:w="90" w:type="dxa"/>
              <w:bottom w:w="90" w:type="dxa"/>
              <w:end w:w="90" w:type="dxa"/>
            </w:tcMar>
          </w:tcPr>
          <w:p>
            <w:r>
              <w:rPr>
                <w:sz w:val="18"/>
              </w:rPr>
              <w:t>Entro; SailPoint; AWS (account/connector segmentation context)</w:t>
            </w:r>
          </w:p>
        </w:tc>
      </w:tr>
      <w:tr>
        <w:tc>
          <w:tcPr>
            <w:tcW w:type="dxa" w:w="2448"/>
            <w:vAlign w:val="top"/>
            <w:tcMar>
              <w:top w:w="90" w:type="dxa"/>
              <w:start w:w="90" w:type="dxa"/>
              <w:bottom w:w="90" w:type="dxa"/>
              <w:end w:w="90" w:type="dxa"/>
            </w:tcMar>
          </w:tcPr>
          <w:p>
            <w:r>
              <w:rPr>
                <w:sz w:val="18"/>
              </w:rPr>
              <w:t>Segmentation models</w:t>
            </w:r>
          </w:p>
        </w:tc>
        <w:tc>
          <w:tcPr>
            <w:tcW w:type="dxa" w:w="8352"/>
            <w:vAlign w:val="top"/>
            <w:tcMar>
              <w:top w:w="90" w:type="dxa"/>
              <w:start w:w="90" w:type="dxa"/>
              <w:bottom w:w="90" w:type="dxa"/>
              <w:end w:w="90" w:type="dxa"/>
            </w:tcMar>
          </w:tcPr>
          <w:p>
            <w:r>
              <w:rPr>
                <w:sz w:val="18"/>
              </w:rPr>
              <w:t>Connector-based segmentation and identity/attribute-based segmentation</w:t>
            </w:r>
          </w:p>
        </w:tc>
      </w:tr>
      <w:tr>
        <w:tc>
          <w:tcPr>
            <w:tcW w:type="dxa" w:w="2448"/>
            <w:vAlign w:val="top"/>
            <w:tcMar>
              <w:top w:w="90" w:type="dxa"/>
              <w:start w:w="90" w:type="dxa"/>
              <w:bottom w:w="90" w:type="dxa"/>
              <w:end w:w="90" w:type="dxa"/>
            </w:tcMar>
          </w:tcPr>
          <w:p>
            <w:r>
              <w:rPr>
                <w:sz w:val="18"/>
              </w:rPr>
              <w:t>Current pilot focus</w:t>
            </w:r>
          </w:p>
        </w:tc>
        <w:tc>
          <w:tcPr>
            <w:tcW w:type="dxa" w:w="8352"/>
            <w:vAlign w:val="top"/>
            <w:tcMar>
              <w:top w:w="90" w:type="dxa"/>
              <w:start w:w="90" w:type="dxa"/>
              <w:bottom w:w="90" w:type="dxa"/>
              <w:end w:w="90" w:type="dxa"/>
            </w:tcMar>
          </w:tcPr>
          <w:p>
            <w:r>
              <w:rPr>
                <w:sz w:val="18"/>
              </w:rPr>
              <w:t>HTS</w:t>
            </w:r>
          </w:p>
        </w:tc>
      </w:tr>
      <w:tr>
        <w:tc>
          <w:tcPr>
            <w:tcW w:type="dxa" w:w="2448"/>
            <w:vAlign w:val="top"/>
            <w:tcMar>
              <w:top w:w="90" w:type="dxa"/>
              <w:start w:w="90" w:type="dxa"/>
              <w:bottom w:w="90" w:type="dxa"/>
              <w:end w:w="90" w:type="dxa"/>
            </w:tcMar>
          </w:tcPr>
          <w:p>
            <w:r>
              <w:rPr>
                <w:sz w:val="18"/>
              </w:rPr>
              <w:t>Status</w:t>
            </w:r>
          </w:p>
        </w:tc>
        <w:tc>
          <w:tcPr>
            <w:tcW w:type="dxa" w:w="8352"/>
            <w:vAlign w:val="top"/>
            <w:tcMar>
              <w:top w:w="90" w:type="dxa"/>
              <w:start w:w="90" w:type="dxa"/>
              <w:bottom w:w="90" w:type="dxa"/>
              <w:end w:w="90" w:type="dxa"/>
            </w:tcMar>
          </w:tcPr>
          <w:p>
            <w:r>
              <w:rPr>
                <w:sz w:val="18"/>
              </w:rPr>
              <w:t>Working draft; some vendor functionality and dates remain pending confirmation</w:t>
            </w:r>
          </w:p>
        </w:tc>
      </w:tr>
    </w:tbl>
    <w:p/>
    <w:p>
      <w:r>
        <w:rPr>
          <w:b/>
        </w:rPr>
        <w:t>Note: Items without confirmed source information are marked TBD rather than assumed.</w:t>
      </w:r>
      <w:r/>
    </w:p>
    <w:p>
      <w:r>
        <w:br w:type="page"/>
      </w:r>
    </w:p>
    <w:p>
      <w:pPr>
        <w:pStyle w:val="Heading1"/>
      </w:pPr>
      <w:r>
        <w:t>1. Purpose and Scope</w:t>
      </w:r>
    </w:p>
    <w:p>
      <w:r>
        <w:t>This guide documents the technical and operational segmentation model discussed for Entro. The goal is to create a repeatable process that another team member can understand and execute without relying on meeting context alone.</w:t>
      </w:r>
    </w:p>
    <w:p>
      <w:pPr>
        <w:pStyle w:val="ListBullet"/>
      </w:pPr>
      <w:r>
        <w:t>Document the two segmentation types currently in scope: connector-based and identity/attribute-based.</w:t>
      </w:r>
    </w:p>
    <w:p>
      <w:pPr>
        <w:pStyle w:val="ListBullet"/>
      </w:pPr>
      <w:r>
        <w:t>Show how the current HTS connector-level proof of concept was configured and validated.</w:t>
      </w:r>
    </w:p>
    <w:p>
      <w:pPr>
        <w:pStyle w:val="ListBullet"/>
      </w:pPr>
      <w:r>
        <w:t>Document the target identity mapping: SailPoint Division Description → Entro Division.</w:t>
      </w:r>
    </w:p>
    <w:p>
      <w:pPr>
        <w:pStyle w:val="ListBullet"/>
      </w:pPr>
      <w:r>
        <w:t>Record the required expansion to Company and Department for organizational structures where Division alone is insufficient, especially HTS and Magazines.</w:t>
      </w:r>
    </w:p>
    <w:p>
      <w:pPr>
        <w:pStyle w:val="ListBullet"/>
      </w:pPr>
      <w:r>
        <w:t>Document AWS/account “day-2” operational concerns: newly created accounts must continue to receive the correct segment after initial onboarding.</w:t>
      </w:r>
    </w:p>
    <w:p>
      <w:pPr>
        <w:pStyle w:val="ListBullet"/>
      </w:pPr>
      <w:r>
        <w:t>Track manual steps, automation opportunities, owners, dependencies, evidence, and open vendor commitments.</w:t>
      </w:r>
    </w:p>
    <w:p>
      <w:pPr>
        <w:pStyle w:val="Heading1"/>
      </w:pPr>
      <w:r>
        <w:t>2. Current-State Snapshot</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D9E2F3"/>
            <w:vAlign w:val="center"/>
            <w:tcMar>
              <w:top w:w="90" w:type="dxa"/>
              <w:start w:w="90" w:type="dxa"/>
              <w:bottom w:w="90" w:type="dxa"/>
              <w:end w:w="90" w:type="dxa"/>
            </w:tcMar>
          </w:tcPr>
          <w:p>
            <w:r>
              <w:rPr>
                <w:b/>
                <w:sz w:val="18"/>
              </w:rPr>
              <w:t>Area</w:t>
            </w:r>
          </w:p>
        </w:tc>
        <w:tc>
          <w:tcPr>
            <w:tcW w:type="dxa" w:w="4320"/>
            <w:shd w:fill="D9E2F3"/>
            <w:vAlign w:val="center"/>
            <w:tcMar>
              <w:top w:w="90" w:type="dxa"/>
              <w:start w:w="90" w:type="dxa"/>
              <w:bottom w:w="90" w:type="dxa"/>
              <w:end w:w="90" w:type="dxa"/>
            </w:tcMar>
          </w:tcPr>
          <w:p>
            <w:r>
              <w:rPr>
                <w:b/>
                <w:sz w:val="18"/>
              </w:rPr>
              <w:t>Current state</w:t>
            </w:r>
          </w:p>
        </w:tc>
        <w:tc>
          <w:tcPr>
            <w:tcW w:type="dxa" w:w="4320"/>
            <w:shd w:fill="D9E2F3"/>
            <w:vAlign w:val="center"/>
            <w:tcMar>
              <w:top w:w="90" w:type="dxa"/>
              <w:start w:w="90" w:type="dxa"/>
              <w:bottom w:w="90" w:type="dxa"/>
              <w:end w:w="90" w:type="dxa"/>
            </w:tcMar>
          </w:tcPr>
          <w:p>
            <w:r>
              <w:rPr>
                <w:b/>
                <w:sz w:val="18"/>
              </w:rPr>
              <w:t>Evidence / next action</w:t>
            </w:r>
          </w:p>
        </w:tc>
      </w:tr>
      <w:tr>
        <w:tc>
          <w:tcPr>
            <w:tcW w:type="dxa" w:w="2304"/>
            <w:vAlign w:val="top"/>
            <w:tcMar>
              <w:top w:w="90" w:type="dxa"/>
              <w:start w:w="90" w:type="dxa"/>
              <w:bottom w:w="90" w:type="dxa"/>
              <w:end w:w="90" w:type="dxa"/>
            </w:tcMar>
          </w:tcPr>
          <w:p>
            <w:r>
              <w:rPr>
                <w:sz w:val="18"/>
              </w:rPr>
              <w:t>Connector-based segmentation</w:t>
            </w:r>
          </w:p>
        </w:tc>
        <w:tc>
          <w:tcPr>
            <w:tcW w:type="dxa" w:w="4320"/>
            <w:vAlign w:val="top"/>
            <w:tcMar>
              <w:top w:w="90" w:type="dxa"/>
              <w:start w:w="90" w:type="dxa"/>
              <w:bottom w:w="90" w:type="dxa"/>
              <w:end w:w="90" w:type="dxa"/>
            </w:tcMar>
          </w:tcPr>
          <w:p>
            <w:r>
              <w:rPr>
                <w:sz w:val="18"/>
              </w:rPr>
              <w:t>POC demonstrated as working for HTS. A non-admin HTS user was shown only the accounts/findings associated with the HTS segment.</w:t>
            </w:r>
          </w:p>
        </w:tc>
        <w:tc>
          <w:tcPr>
            <w:tcW w:type="dxa" w:w="4320"/>
            <w:vAlign w:val="top"/>
            <w:tcMar>
              <w:top w:w="90" w:type="dxa"/>
              <w:start w:w="90" w:type="dxa"/>
              <w:bottom w:w="90" w:type="dxa"/>
              <w:end w:w="90" w:type="dxa"/>
            </w:tcMar>
          </w:tcPr>
          <w:p>
            <w:r>
              <w:rPr>
                <w:sz w:val="18"/>
              </w:rPr>
              <w:t>Capture screenshots from Entro showing segment assignment and restricted user view.</w:t>
            </w:r>
          </w:p>
        </w:tc>
      </w:tr>
      <w:tr>
        <w:tc>
          <w:tcPr>
            <w:tcW w:type="dxa" w:w="2304"/>
            <w:vAlign w:val="top"/>
            <w:tcMar>
              <w:top w:w="90" w:type="dxa"/>
              <w:start w:w="90" w:type="dxa"/>
              <w:bottom w:w="90" w:type="dxa"/>
              <w:end w:w="90" w:type="dxa"/>
            </w:tcMar>
          </w:tcPr>
          <w:p>
            <w:r>
              <w:rPr>
                <w:sz w:val="18"/>
              </w:rPr>
              <w:t>Identity/Division segmentation</w:t>
            </w:r>
          </w:p>
        </w:tc>
        <w:tc>
          <w:tcPr>
            <w:tcW w:type="dxa" w:w="4320"/>
            <w:vAlign w:val="top"/>
            <w:tcMar>
              <w:top w:w="90" w:type="dxa"/>
              <w:start w:w="90" w:type="dxa"/>
              <w:bottom w:w="90" w:type="dxa"/>
              <w:end w:w="90" w:type="dxa"/>
            </w:tcMar>
          </w:tcPr>
          <w:p>
            <w:r>
              <w:rPr>
                <w:sz w:val="18"/>
              </w:rPr>
              <w:t>Mapping correction was in progress in the vendor discussion. Division is the first-priority identity attribute.</w:t>
            </w:r>
          </w:p>
        </w:tc>
        <w:tc>
          <w:tcPr>
            <w:tcW w:type="dxa" w:w="4320"/>
            <w:vAlign w:val="top"/>
            <w:tcMar>
              <w:top w:w="90" w:type="dxa"/>
              <w:start w:w="90" w:type="dxa"/>
              <w:bottom w:w="90" w:type="dxa"/>
              <w:end w:w="90" w:type="dxa"/>
            </w:tcMar>
          </w:tcPr>
          <w:p>
            <w:r>
              <w:rPr>
                <w:sz w:val="18"/>
              </w:rPr>
              <w:t>Confirm current completion status and validate using Television and Newspapers.</w:t>
            </w:r>
          </w:p>
        </w:tc>
      </w:tr>
      <w:tr>
        <w:tc>
          <w:tcPr>
            <w:tcW w:type="dxa" w:w="2304"/>
            <w:vAlign w:val="top"/>
            <w:tcMar>
              <w:top w:w="90" w:type="dxa"/>
              <w:start w:w="90" w:type="dxa"/>
              <w:bottom w:w="90" w:type="dxa"/>
              <w:end w:w="90" w:type="dxa"/>
            </w:tcMar>
          </w:tcPr>
          <w:p>
            <w:r>
              <w:rPr>
                <w:sz w:val="18"/>
              </w:rPr>
              <w:t>Company + Department logic</w:t>
            </w:r>
          </w:p>
        </w:tc>
        <w:tc>
          <w:tcPr>
            <w:tcW w:type="dxa" w:w="4320"/>
            <w:vAlign w:val="top"/>
            <w:tcMar>
              <w:top w:w="90" w:type="dxa"/>
              <w:start w:w="90" w:type="dxa"/>
              <w:bottom w:w="90" w:type="dxa"/>
              <w:end w:w="90" w:type="dxa"/>
            </w:tcMar>
          </w:tcPr>
          <w:p>
            <w:r>
              <w:rPr>
                <w:sz w:val="18"/>
              </w:rPr>
              <w:t>Requested enhancement; required where Division is too broad.</w:t>
            </w:r>
          </w:p>
        </w:tc>
        <w:tc>
          <w:tcPr>
            <w:tcW w:type="dxa" w:w="4320"/>
            <w:vAlign w:val="top"/>
            <w:tcMar>
              <w:top w:w="90" w:type="dxa"/>
              <w:start w:w="90" w:type="dxa"/>
              <w:bottom w:w="90" w:type="dxa"/>
              <w:end w:w="90" w:type="dxa"/>
            </w:tcMar>
          </w:tcPr>
          <w:p>
            <w:r>
              <w:rPr>
                <w:sz w:val="18"/>
              </w:rPr>
              <w:t>Obtain committed delivery date and document exact logic once available.</w:t>
            </w:r>
          </w:p>
        </w:tc>
      </w:tr>
      <w:tr>
        <w:tc>
          <w:tcPr>
            <w:tcW w:type="dxa" w:w="2304"/>
            <w:vAlign w:val="top"/>
            <w:tcMar>
              <w:top w:w="90" w:type="dxa"/>
              <w:start w:w="90" w:type="dxa"/>
              <w:bottom w:w="90" w:type="dxa"/>
              <w:end w:w="90" w:type="dxa"/>
            </w:tcMar>
          </w:tcPr>
          <w:p>
            <w:r>
              <w:rPr>
                <w:sz w:val="18"/>
              </w:rPr>
              <w:t>HTS model</w:t>
            </w:r>
          </w:p>
        </w:tc>
        <w:tc>
          <w:tcPr>
            <w:tcW w:type="dxa" w:w="4320"/>
            <w:vAlign w:val="top"/>
            <w:tcMar>
              <w:top w:w="90" w:type="dxa"/>
              <w:start w:w="90" w:type="dxa"/>
              <w:bottom w:w="90" w:type="dxa"/>
              <w:end w:w="90" w:type="dxa"/>
            </w:tcMar>
          </w:tcPr>
          <w:p>
            <w:r>
              <w:rPr>
                <w:sz w:val="18"/>
              </w:rPr>
              <w:t>HTS is part of Corporate and cannot be represented cleanly by Division alone. SailPoint has an HTS role; connector-level tagging has been used for the POC.</w:t>
            </w:r>
          </w:p>
        </w:tc>
        <w:tc>
          <w:tcPr>
            <w:tcW w:type="dxa" w:w="4320"/>
            <w:vAlign w:val="top"/>
            <w:tcMar>
              <w:top w:w="90" w:type="dxa"/>
              <w:start w:w="90" w:type="dxa"/>
              <w:bottom w:w="90" w:type="dxa"/>
              <w:end w:w="90" w:type="dxa"/>
            </w:tcMar>
          </w:tcPr>
          <w:p>
            <w:r>
              <w:rPr>
                <w:sz w:val="18"/>
              </w:rPr>
              <w:t>Use HTS as pilot; document dependency on expanded identity attributes.</w:t>
            </w:r>
          </w:p>
        </w:tc>
      </w:tr>
      <w:tr>
        <w:tc>
          <w:tcPr>
            <w:tcW w:type="dxa" w:w="2304"/>
            <w:vAlign w:val="top"/>
            <w:tcMar>
              <w:top w:w="90" w:type="dxa"/>
              <w:start w:w="90" w:type="dxa"/>
              <w:bottom w:w="90" w:type="dxa"/>
              <w:end w:w="90" w:type="dxa"/>
            </w:tcMar>
          </w:tcPr>
          <w:p>
            <w:r>
              <w:rPr>
                <w:sz w:val="18"/>
              </w:rPr>
              <w:t>AWS day-2 segmentation</w:t>
            </w:r>
          </w:p>
        </w:tc>
        <w:tc>
          <w:tcPr>
            <w:tcW w:type="dxa" w:w="4320"/>
            <w:vAlign w:val="top"/>
            <w:tcMar>
              <w:top w:w="90" w:type="dxa"/>
              <w:start w:w="90" w:type="dxa"/>
              <w:bottom w:w="90" w:type="dxa"/>
              <w:end w:w="90" w:type="dxa"/>
            </w:tcMar>
          </w:tcPr>
          <w:p>
            <w:r>
              <w:rPr>
                <w:sz w:val="18"/>
              </w:rPr>
              <w:t>Initial manual bulk tagging approach was demonstrated; ongoing automatic assignment for newly created accounts remains an operational requirement.</w:t>
            </w:r>
          </w:p>
        </w:tc>
        <w:tc>
          <w:tcPr>
            <w:tcW w:type="dxa" w:w="4320"/>
            <w:vAlign w:val="top"/>
            <w:tcMar>
              <w:top w:w="90" w:type="dxa"/>
              <w:start w:w="90" w:type="dxa"/>
              <w:bottom w:w="90" w:type="dxa"/>
              <w:end w:w="90" w:type="dxa"/>
            </w:tcMar>
          </w:tcPr>
          <w:p>
            <w:r>
              <w:rPr>
                <w:sz w:val="18"/>
              </w:rPr>
              <w:t>Confirm API/native automation approach, owner, and delivery date.</w:t>
            </w:r>
          </w:p>
        </w:tc>
      </w:tr>
    </w:tbl>
    <w:p/>
    <w:p>
      <w:pPr>
        <w:pStyle w:val="Heading1"/>
      </w:pPr>
      <w:r>
        <w:t>3. Segmentation Model</w:t>
      </w:r>
    </w:p>
    <w:p>
      <w:pPr>
        <w:pStyle w:val="Heading2"/>
      </w:pPr>
      <w:r>
        <w:t>3.1 Connector-Based Segmentation</w:t>
      </w:r>
    </w:p>
    <w:p>
      <w:r>
        <w:t>Connector-based segmentation assigns integrations/accounts to a business segment. In the HTS POC, HTS-related AWS connectors/accounts were tagged to the HTS segment, and the HTS SailPoint role was associated with that segment.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2F3"/>
            <w:vAlign w:val="center"/>
            <w:tcMar>
              <w:top w:w="90" w:type="dxa"/>
              <w:start w:w="90" w:type="dxa"/>
              <w:bottom w:w="90" w:type="dxa"/>
              <w:end w:w="90" w:type="dxa"/>
            </w:tcMar>
          </w:tcPr>
          <w:p>
            <w:r>
              <w:rPr>
                <w:b/>
                <w:sz w:val="18"/>
              </w:rPr>
              <w:t>Input / object</w:t>
            </w:r>
          </w:p>
        </w:tc>
        <w:tc>
          <w:tcPr>
            <w:tcW w:type="dxa" w:w="3408"/>
            <w:shd w:fill="D9E2F3"/>
            <w:vAlign w:val="center"/>
            <w:tcMar>
              <w:top w:w="90" w:type="dxa"/>
              <w:start w:w="90" w:type="dxa"/>
              <w:bottom w:w="90" w:type="dxa"/>
              <w:end w:w="90" w:type="dxa"/>
            </w:tcMar>
          </w:tcPr>
          <w:p>
            <w:r>
              <w:rPr>
                <w:b/>
                <w:sz w:val="18"/>
              </w:rPr>
              <w:t>Rule / action</w:t>
            </w:r>
          </w:p>
        </w:tc>
        <w:tc>
          <w:tcPr>
            <w:tcW w:type="dxa" w:w="3408"/>
            <w:shd w:fill="D9E2F3"/>
            <w:vAlign w:val="center"/>
            <w:tcMar>
              <w:top w:w="90" w:type="dxa"/>
              <w:start w:w="90" w:type="dxa"/>
              <w:bottom w:w="90" w:type="dxa"/>
              <w:end w:w="90" w:type="dxa"/>
            </w:tcMar>
          </w:tcPr>
          <w:p>
            <w:r>
              <w:rPr>
                <w:b/>
                <w:sz w:val="18"/>
              </w:rPr>
              <w:t>Result</w:t>
            </w:r>
          </w:p>
        </w:tc>
      </w:tr>
      <w:tr>
        <w:tc>
          <w:tcPr>
            <w:tcW w:type="dxa" w:w="3408"/>
            <w:vAlign w:val="top"/>
            <w:tcMar>
              <w:top w:w="90" w:type="dxa"/>
              <w:start w:w="90" w:type="dxa"/>
              <w:bottom w:w="90" w:type="dxa"/>
              <w:end w:w="90" w:type="dxa"/>
            </w:tcMar>
          </w:tcPr>
          <w:p>
            <w:r>
              <w:rPr>
                <w:sz w:val="18"/>
              </w:rPr>
              <w:t>Connector / account</w:t>
            </w:r>
          </w:p>
        </w:tc>
        <w:tc>
          <w:tcPr>
            <w:tcW w:type="dxa" w:w="3408"/>
            <w:vAlign w:val="top"/>
            <w:tcMar>
              <w:top w:w="90" w:type="dxa"/>
              <w:start w:w="90" w:type="dxa"/>
              <w:bottom w:w="90" w:type="dxa"/>
              <w:end w:w="90" w:type="dxa"/>
            </w:tcMar>
          </w:tcPr>
          <w:p>
            <w:r>
              <w:rPr>
                <w:sz w:val="18"/>
              </w:rPr>
              <w:t>Tag or assign the connector/account to the applicable Entro segment.</w:t>
            </w:r>
          </w:p>
        </w:tc>
        <w:tc>
          <w:tcPr>
            <w:tcW w:type="dxa" w:w="3408"/>
            <w:vAlign w:val="top"/>
            <w:tcMar>
              <w:top w:w="90" w:type="dxa"/>
              <w:start w:w="90" w:type="dxa"/>
              <w:bottom w:w="90" w:type="dxa"/>
              <w:end w:w="90" w:type="dxa"/>
            </w:tcMar>
          </w:tcPr>
          <w:p>
            <w:r>
              <w:rPr>
                <w:sz w:val="18"/>
              </w:rPr>
              <w:t>Resources/findings become scoped to that segment.</w:t>
            </w:r>
          </w:p>
        </w:tc>
      </w:tr>
      <w:tr>
        <w:tc>
          <w:tcPr>
            <w:tcW w:type="dxa" w:w="3408"/>
            <w:vAlign w:val="top"/>
            <w:tcMar>
              <w:top w:w="90" w:type="dxa"/>
              <w:start w:w="90" w:type="dxa"/>
              <w:bottom w:w="90" w:type="dxa"/>
              <w:end w:w="90" w:type="dxa"/>
            </w:tcMar>
          </w:tcPr>
          <w:p>
            <w:r>
              <w:rPr>
                <w:sz w:val="18"/>
              </w:rPr>
              <w:t>HTS AWS resources</w:t>
            </w:r>
          </w:p>
        </w:tc>
        <w:tc>
          <w:tcPr>
            <w:tcW w:type="dxa" w:w="3408"/>
            <w:vAlign w:val="top"/>
            <w:tcMar>
              <w:top w:w="90" w:type="dxa"/>
              <w:start w:w="90" w:type="dxa"/>
              <w:bottom w:w="90" w:type="dxa"/>
              <w:end w:w="90" w:type="dxa"/>
            </w:tcMar>
          </w:tcPr>
          <w:p>
            <w:r>
              <w:rPr>
                <w:sz w:val="18"/>
              </w:rPr>
              <w:t>Search/filter for HTS-related resources, select them, then use Bulk Action → Segments → HTS.</w:t>
            </w:r>
          </w:p>
        </w:tc>
        <w:tc>
          <w:tcPr>
            <w:tcW w:type="dxa" w:w="3408"/>
            <w:vAlign w:val="top"/>
            <w:tcMar>
              <w:top w:w="90" w:type="dxa"/>
              <w:start w:w="90" w:type="dxa"/>
              <w:bottom w:w="90" w:type="dxa"/>
              <w:end w:w="90" w:type="dxa"/>
            </w:tcMar>
          </w:tcPr>
          <w:p>
            <w:r>
              <w:rPr>
                <w:sz w:val="18"/>
              </w:rPr>
              <w:t>HTS resources are associated to HTS.</w:t>
            </w:r>
          </w:p>
        </w:tc>
      </w:tr>
      <w:tr>
        <w:tc>
          <w:tcPr>
            <w:tcW w:type="dxa" w:w="3408"/>
            <w:vAlign w:val="top"/>
            <w:tcMar>
              <w:top w:w="90" w:type="dxa"/>
              <w:start w:w="90" w:type="dxa"/>
              <w:bottom w:w="90" w:type="dxa"/>
              <w:end w:w="90" w:type="dxa"/>
            </w:tcMar>
          </w:tcPr>
          <w:p>
            <w:r>
              <w:rPr>
                <w:sz w:val="18"/>
              </w:rPr>
              <w:t>HTS user role</w:t>
            </w:r>
          </w:p>
        </w:tc>
        <w:tc>
          <w:tcPr>
            <w:tcW w:type="dxa" w:w="3408"/>
            <w:vAlign w:val="top"/>
            <w:tcMar>
              <w:top w:w="90" w:type="dxa"/>
              <w:start w:w="90" w:type="dxa"/>
              <w:bottom w:w="90" w:type="dxa"/>
              <w:end w:w="90" w:type="dxa"/>
            </w:tcMar>
          </w:tcPr>
          <w:p>
            <w:r>
              <w:rPr>
                <w:sz w:val="18"/>
              </w:rPr>
              <w:t>Associate the HTS SailPoint role with the HTS segment.</w:t>
            </w:r>
          </w:p>
        </w:tc>
        <w:tc>
          <w:tcPr>
            <w:tcW w:type="dxa" w:w="3408"/>
            <w:vAlign w:val="top"/>
            <w:tcMar>
              <w:top w:w="90" w:type="dxa"/>
              <w:start w:w="90" w:type="dxa"/>
              <w:bottom w:w="90" w:type="dxa"/>
              <w:end w:w="90" w:type="dxa"/>
            </w:tcMar>
          </w:tcPr>
          <w:p>
            <w:r>
              <w:rPr>
                <w:sz w:val="18"/>
              </w:rPr>
              <w:t>Non-admin HTS users should see only permitted HTS-scoped resources/findings.</w:t>
            </w:r>
          </w:p>
        </w:tc>
      </w:tr>
    </w:tbl>
    <w:p/>
    <w:tbl>
      <w:tblPr>
        <w:tblW w:type="auto" w:w="0"/>
        <w:jc w:val="center"/>
        <w:tblLook w:firstColumn="1" w:firstRow="1" w:lastColumn="0" w:lastRow="0" w:noHBand="0" w:noVBand="1" w:val="04A0"/>
      </w:tblPr>
      <w:tblGrid>
        <w:gridCol w:w="10224"/>
      </w:tblGrid>
      <w:tr>
        <w:tc>
          <w:tcPr>
            <w:tcW w:type="dxa" w:w="10224"/>
            <w:shd w:fill="F2F2F2"/>
            <w:tcMar>
              <w:top w:w="180" w:type="dxa"/>
              <w:start w:w="180" w:type="dxa"/>
              <w:bottom w:w="180" w:type="dxa"/>
              <w:end w:w="180" w:type="dxa"/>
            </w:tcMar>
          </w:tcPr>
          <w:p>
            <w:pPr>
              <w:jc w:val="center"/>
            </w:pPr>
            <w:r>
              <w:rPr>
                <w:b/>
                <w:sz w:val="22"/>
              </w:rPr>
              <w:t>SCREENSHOT 1 — Entro Accounts &amp; Integrations</w:t>
              <w:br/>
            </w:r>
            <w:r>
              <w:rPr>
                <w:i/>
                <w:color w:val="595959"/>
                <w:sz w:val="18"/>
              </w:rPr>
              <w:t>Insert screenshot showing HTS search/filter results before bulk segment assignment.</w:t>
            </w:r>
          </w:p>
        </w:tc>
      </w:tr>
    </w:tbl>
    <w:p/>
    <w:tbl>
      <w:tblPr>
        <w:tblW w:type="auto" w:w="0"/>
        <w:jc w:val="center"/>
        <w:tblLook w:firstColumn="1" w:firstRow="1" w:lastColumn="0" w:lastRow="0" w:noHBand="0" w:noVBand="1" w:val="04A0"/>
      </w:tblPr>
      <w:tblGrid>
        <w:gridCol w:w="10224"/>
      </w:tblGrid>
      <w:tr>
        <w:tc>
          <w:tcPr>
            <w:tcW w:type="dxa" w:w="10224"/>
            <w:shd w:fill="F2F2F2"/>
            <w:tcMar>
              <w:top w:w="180" w:type="dxa"/>
              <w:start w:w="180" w:type="dxa"/>
              <w:bottom w:w="180" w:type="dxa"/>
              <w:end w:w="180" w:type="dxa"/>
            </w:tcMar>
          </w:tcPr>
          <w:p>
            <w:pPr>
              <w:jc w:val="center"/>
            </w:pPr>
            <w:r>
              <w:rPr>
                <w:b/>
                <w:sz w:val="22"/>
              </w:rPr>
              <w:t>SCREENSHOT 2 — Bulk Action → Segments</w:t>
              <w:br/>
            </w:r>
            <w:r>
              <w:rPr>
                <w:i/>
                <w:color w:val="595959"/>
                <w:sz w:val="18"/>
              </w:rPr>
              <w:t>Insert screenshot showing the selected HTS resources and assignment to the HTS segment.</w:t>
            </w:r>
          </w:p>
        </w:tc>
      </w:tr>
    </w:tbl>
    <w:p/>
    <w:tbl>
      <w:tblPr>
        <w:tblW w:type="auto" w:w="0"/>
        <w:jc w:val="center"/>
        <w:tblLook w:firstColumn="1" w:firstRow="1" w:lastColumn="0" w:lastRow="0" w:noHBand="0" w:noVBand="1" w:val="04A0"/>
      </w:tblPr>
      <w:tblGrid>
        <w:gridCol w:w="10224"/>
      </w:tblGrid>
      <w:tr>
        <w:tc>
          <w:tcPr>
            <w:tcW w:type="dxa" w:w="10224"/>
            <w:shd w:fill="F2F2F2"/>
            <w:tcMar>
              <w:top w:w="180" w:type="dxa"/>
              <w:start w:w="180" w:type="dxa"/>
              <w:bottom w:w="180" w:type="dxa"/>
              <w:end w:w="180" w:type="dxa"/>
            </w:tcMar>
          </w:tcPr>
          <w:p>
            <w:pPr>
              <w:jc w:val="center"/>
            </w:pPr>
            <w:r>
              <w:rPr>
                <w:b/>
                <w:sz w:val="22"/>
              </w:rPr>
              <w:t>SCREENSHOT 3 — HTS restricted view</w:t>
              <w:br/>
            </w:r>
            <w:r>
              <w:rPr>
                <w:i/>
                <w:color w:val="595959"/>
                <w:sz w:val="18"/>
              </w:rPr>
              <w:t>Insert screenshot showing a non-admin HTS user seeing only HTS-scoped accounts/findings.</w:t>
            </w:r>
          </w:p>
        </w:tc>
      </w:tr>
    </w:tbl>
    <w:p/>
    <w:p>
      <w:pPr>
        <w:pStyle w:val="Heading2"/>
      </w:pPr>
      <w:r>
        <w:t>3.2 Identity / Attribute-Based Segmentation</w:t>
      </w:r>
    </w:p>
    <w:p>
      <w:r>
        <w:t>Identity-based segmentation uses authoritative identity attributes to determine which segment a user belongs to. The first-priority mapping discussed is SailPoint Division Description to the Entro Division field.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2F3"/>
            <w:vAlign w:val="center"/>
            <w:tcMar>
              <w:top w:w="90" w:type="dxa"/>
              <w:start w:w="90" w:type="dxa"/>
              <w:bottom w:w="90" w:type="dxa"/>
              <w:end w:w="90" w:type="dxa"/>
            </w:tcMar>
          </w:tcPr>
          <w:p>
            <w:r>
              <w:rPr>
                <w:b/>
                <w:sz w:val="18"/>
              </w:rPr>
              <w:t>Priority</w:t>
            </w:r>
          </w:p>
        </w:tc>
        <w:tc>
          <w:tcPr>
            <w:tcW w:type="dxa" w:w="2556"/>
            <w:shd w:fill="D9E2F3"/>
            <w:vAlign w:val="center"/>
            <w:tcMar>
              <w:top w:w="90" w:type="dxa"/>
              <w:start w:w="90" w:type="dxa"/>
              <w:bottom w:w="90" w:type="dxa"/>
              <w:end w:w="90" w:type="dxa"/>
            </w:tcMar>
          </w:tcPr>
          <w:p>
            <w:r>
              <w:rPr>
                <w:b/>
                <w:sz w:val="18"/>
              </w:rPr>
              <w:t>Source</w:t>
            </w:r>
          </w:p>
        </w:tc>
        <w:tc>
          <w:tcPr>
            <w:tcW w:type="dxa" w:w="2556"/>
            <w:shd w:fill="D9E2F3"/>
            <w:vAlign w:val="center"/>
            <w:tcMar>
              <w:top w:w="90" w:type="dxa"/>
              <w:start w:w="90" w:type="dxa"/>
              <w:bottom w:w="90" w:type="dxa"/>
              <w:end w:w="90" w:type="dxa"/>
            </w:tcMar>
          </w:tcPr>
          <w:p>
            <w:r>
              <w:rPr>
                <w:b/>
                <w:sz w:val="18"/>
              </w:rPr>
              <w:t>Target / logic</w:t>
            </w:r>
          </w:p>
        </w:tc>
        <w:tc>
          <w:tcPr>
            <w:tcW w:type="dxa" w:w="2556"/>
            <w:shd w:fill="D9E2F3"/>
            <w:vAlign w:val="center"/>
            <w:tcMar>
              <w:top w:w="90" w:type="dxa"/>
              <w:start w:w="90" w:type="dxa"/>
              <w:bottom w:w="90" w:type="dxa"/>
              <w:end w:w="90" w:type="dxa"/>
            </w:tcMar>
          </w:tcPr>
          <w:p>
            <w:r>
              <w:rPr>
                <w:b/>
                <w:sz w:val="18"/>
              </w:rPr>
              <w:t>Use case</w:t>
            </w:r>
          </w:p>
        </w:tc>
      </w:tr>
      <w:tr>
        <w:tc>
          <w:tcPr>
            <w:tcW w:type="dxa" w:w="2556"/>
            <w:vAlign w:val="top"/>
            <w:tcMar>
              <w:top w:w="90" w:type="dxa"/>
              <w:start w:w="90" w:type="dxa"/>
              <w:bottom w:w="90" w:type="dxa"/>
              <w:end w:w="90" w:type="dxa"/>
            </w:tcMar>
          </w:tcPr>
          <w:p>
            <w:r>
              <w:rPr>
                <w:sz w:val="18"/>
              </w:rPr>
              <w:t>1</w:t>
            </w:r>
          </w:p>
        </w:tc>
        <w:tc>
          <w:tcPr>
            <w:tcW w:type="dxa" w:w="2556"/>
            <w:vAlign w:val="top"/>
            <w:tcMar>
              <w:top w:w="90" w:type="dxa"/>
              <w:start w:w="90" w:type="dxa"/>
              <w:bottom w:w="90" w:type="dxa"/>
              <w:end w:w="90" w:type="dxa"/>
            </w:tcMar>
          </w:tcPr>
          <w:p>
            <w:r>
              <w:rPr>
                <w:sz w:val="18"/>
              </w:rPr>
              <w:t>SailPoint: Division Description</w:t>
            </w:r>
          </w:p>
        </w:tc>
        <w:tc>
          <w:tcPr>
            <w:tcW w:type="dxa" w:w="2556"/>
            <w:vAlign w:val="top"/>
            <w:tcMar>
              <w:top w:w="90" w:type="dxa"/>
              <w:start w:w="90" w:type="dxa"/>
              <w:bottom w:w="90" w:type="dxa"/>
              <w:end w:w="90" w:type="dxa"/>
            </w:tcMar>
          </w:tcPr>
          <w:p>
            <w:r>
              <w:rPr>
                <w:sz w:val="18"/>
              </w:rPr>
              <w:t>Entro: Division</w:t>
            </w:r>
          </w:p>
        </w:tc>
        <w:tc>
          <w:tcPr>
            <w:tcW w:type="dxa" w:w="2556"/>
            <w:vAlign w:val="top"/>
            <w:tcMar>
              <w:top w:w="90" w:type="dxa"/>
              <w:start w:w="90" w:type="dxa"/>
              <w:bottom w:w="90" w:type="dxa"/>
              <w:end w:w="90" w:type="dxa"/>
            </w:tcMar>
          </w:tcPr>
          <w:p>
            <w:r>
              <w:rPr>
                <w:sz w:val="18"/>
              </w:rPr>
              <w:t>Straightforward organizational divisions such as Television and Newspapers.</w:t>
            </w:r>
          </w:p>
        </w:tc>
      </w:tr>
      <w:tr>
        <w:tc>
          <w:tcPr>
            <w:tcW w:type="dxa" w:w="2556"/>
            <w:vAlign w:val="top"/>
            <w:tcMar>
              <w:top w:w="90" w:type="dxa"/>
              <w:start w:w="90" w:type="dxa"/>
              <w:bottom w:w="90" w:type="dxa"/>
              <w:end w:w="90" w:type="dxa"/>
            </w:tcMar>
          </w:tcPr>
          <w:p>
            <w:r>
              <w:rPr>
                <w:sz w:val="18"/>
              </w:rPr>
              <w:t>2</w:t>
            </w:r>
          </w:p>
        </w:tc>
        <w:tc>
          <w:tcPr>
            <w:tcW w:type="dxa" w:w="2556"/>
            <w:vAlign w:val="top"/>
            <w:tcMar>
              <w:top w:w="90" w:type="dxa"/>
              <w:start w:w="90" w:type="dxa"/>
              <w:bottom w:w="90" w:type="dxa"/>
              <w:end w:w="90" w:type="dxa"/>
            </w:tcMar>
          </w:tcPr>
          <w:p>
            <w:r>
              <w:rPr>
                <w:sz w:val="18"/>
              </w:rPr>
              <w:t>Company</w:t>
            </w:r>
          </w:p>
        </w:tc>
        <w:tc>
          <w:tcPr>
            <w:tcW w:type="dxa" w:w="2556"/>
            <w:vAlign w:val="top"/>
            <w:tcMar>
              <w:top w:w="90" w:type="dxa"/>
              <w:start w:w="90" w:type="dxa"/>
              <w:bottom w:w="90" w:type="dxa"/>
              <w:end w:w="90" w:type="dxa"/>
            </w:tcMar>
          </w:tcPr>
          <w:p>
            <w:r>
              <w:rPr>
                <w:sz w:val="18"/>
              </w:rPr>
              <w:t>Additional segmentation criterion</w:t>
            </w:r>
          </w:p>
        </w:tc>
        <w:tc>
          <w:tcPr>
            <w:tcW w:type="dxa" w:w="2556"/>
            <w:vAlign w:val="top"/>
            <w:tcMar>
              <w:top w:w="90" w:type="dxa"/>
              <w:start w:w="90" w:type="dxa"/>
              <w:bottom w:w="90" w:type="dxa"/>
              <w:end w:w="90" w:type="dxa"/>
            </w:tcMar>
          </w:tcPr>
          <w:p>
            <w:r>
              <w:rPr>
                <w:sz w:val="18"/>
              </w:rPr>
              <w:t>Required where Division alone groups multiple companies/businesses together.</w:t>
            </w:r>
          </w:p>
        </w:tc>
      </w:tr>
      <w:tr>
        <w:tc>
          <w:tcPr>
            <w:tcW w:type="dxa" w:w="2556"/>
            <w:vAlign w:val="top"/>
            <w:tcMar>
              <w:top w:w="90" w:type="dxa"/>
              <w:start w:w="90" w:type="dxa"/>
              <w:bottom w:w="90" w:type="dxa"/>
              <w:end w:w="90" w:type="dxa"/>
            </w:tcMar>
          </w:tcPr>
          <w:p>
            <w:r>
              <w:rPr>
                <w:sz w:val="18"/>
              </w:rPr>
              <w:t>3</w:t>
            </w:r>
          </w:p>
        </w:tc>
        <w:tc>
          <w:tcPr>
            <w:tcW w:type="dxa" w:w="2556"/>
            <w:vAlign w:val="top"/>
            <w:tcMar>
              <w:top w:w="90" w:type="dxa"/>
              <w:start w:w="90" w:type="dxa"/>
              <w:bottom w:w="90" w:type="dxa"/>
              <w:end w:w="90" w:type="dxa"/>
            </w:tcMar>
          </w:tcPr>
          <w:p>
            <w:r>
              <w:rPr>
                <w:sz w:val="18"/>
              </w:rPr>
              <w:t>Department</w:t>
            </w:r>
          </w:p>
        </w:tc>
        <w:tc>
          <w:tcPr>
            <w:tcW w:type="dxa" w:w="2556"/>
            <w:vAlign w:val="top"/>
            <w:tcMar>
              <w:top w:w="90" w:type="dxa"/>
              <w:start w:w="90" w:type="dxa"/>
              <w:bottom w:w="90" w:type="dxa"/>
              <w:end w:w="90" w:type="dxa"/>
            </w:tcMar>
          </w:tcPr>
          <w:p>
            <w:r>
              <w:rPr>
                <w:sz w:val="18"/>
              </w:rPr>
              <w:t>Additional segmentation criterion</w:t>
            </w:r>
          </w:p>
        </w:tc>
        <w:tc>
          <w:tcPr>
            <w:tcW w:type="dxa" w:w="2556"/>
            <w:vAlign w:val="top"/>
            <w:tcMar>
              <w:top w:w="90" w:type="dxa"/>
              <w:start w:w="90" w:type="dxa"/>
              <w:bottom w:w="90" w:type="dxa"/>
              <w:end w:w="90" w:type="dxa"/>
            </w:tcMar>
          </w:tcPr>
          <w:p>
            <w:r>
              <w:rPr>
                <w:sz w:val="18"/>
              </w:rPr>
              <w:t>Required for finer brand/business separation, particularly discussed for Magazines.</w:t>
            </w:r>
          </w:p>
        </w:tc>
      </w:tr>
    </w:tbl>
    <w:p/>
    <w:p>
      <w:r>
        <w:rPr>
          <w:b/>
        </w:rPr>
        <w:t xml:space="preserve">Target hierarchy: </w:t>
      </w:r>
      <w:r>
        <w:t>Division → Company → Department (as needed by the organizational structure).</w:t>
      </w:r>
    </w:p>
    <w:tbl>
      <w:tblPr>
        <w:tblW w:type="auto" w:w="0"/>
        <w:jc w:val="center"/>
        <w:tblLook w:firstColumn="1" w:firstRow="1" w:lastColumn="0" w:lastRow="0" w:noHBand="0" w:noVBand="1" w:val="04A0"/>
      </w:tblPr>
      <w:tblGrid>
        <w:gridCol w:w="10224"/>
      </w:tblGrid>
      <w:tr>
        <w:tc>
          <w:tcPr>
            <w:tcW w:type="dxa" w:w="10224"/>
            <w:shd w:fill="F2F2F2"/>
            <w:tcMar>
              <w:top w:w="180" w:type="dxa"/>
              <w:start w:w="180" w:type="dxa"/>
              <w:bottom w:w="180" w:type="dxa"/>
              <w:end w:w="180" w:type="dxa"/>
            </w:tcMar>
          </w:tcPr>
          <w:p>
            <w:pPr>
              <w:jc w:val="center"/>
            </w:pPr>
            <w:r>
              <w:rPr>
                <w:b/>
                <w:sz w:val="22"/>
              </w:rPr>
              <w:t>SCREENSHOT 4 — Identity mapping configuration</w:t>
              <w:br/>
            </w:r>
            <w:r>
              <w:rPr>
                <w:i/>
                <w:color w:val="595959"/>
                <w:sz w:val="18"/>
              </w:rPr>
              <w:t>Insert the vendor/configuration screen that shows SailPoint Division Description mapped to Entro Division. Do not invent this screenshot if the configuration screen is not yet available.</w:t>
            </w:r>
          </w:p>
        </w:tc>
      </w:tr>
    </w:tbl>
    <w:p/>
    <w:p>
      <w:pPr>
        <w:pStyle w:val="Heading1"/>
      </w:pPr>
      <w:r>
        <w:t>4. Procedure — Connector-Based Segmentation (Current Manual POC)</w:t>
      </w:r>
    </w:p>
    <w:p>
      <w:r>
        <w:t>The following steps are supported by the vendor call and should be validated against the current Entro UI before final publication.</w:t>
      </w:r>
    </w:p>
    <w:p>
      <w:pPr>
        <w:pStyle w:val="ListNumber"/>
      </w:pPr>
      <w:r>
        <w:t>Open Entro and navigate to Accounts &amp; Integrations.</w:t>
      </w:r>
    </w:p>
    <w:p>
      <w:pPr>
        <w:pStyle w:val="ListNumber"/>
      </w:pPr>
      <w:r>
        <w:t>Search or filter for the business identifier. For the HTS POC, the team searched for “HTS”.</w:t>
      </w:r>
    </w:p>
    <w:p>
      <w:pPr>
        <w:pStyle w:val="ListNumber"/>
      </w:pPr>
      <w:r>
        <w:t>Review the returned accounts/connectors and confirm they belong to the intended business scope.</w:t>
      </w:r>
    </w:p>
    <w:p>
      <w:pPr>
        <w:pStyle w:val="ListNumber"/>
      </w:pPr>
      <w:r>
        <w:t>Select the applicable resources.</w:t>
      </w:r>
    </w:p>
    <w:p>
      <w:pPr>
        <w:pStyle w:val="ListNumber"/>
      </w:pPr>
      <w:r>
        <w:t>Use Bulk Action and choose Segments.</w:t>
      </w:r>
    </w:p>
    <w:p>
      <w:pPr>
        <w:pStyle w:val="ListNumber"/>
      </w:pPr>
      <w:r>
        <w:t>Select the target segment (for the POC: HTS).</w:t>
      </w:r>
    </w:p>
    <w:p>
      <w:pPr>
        <w:pStyle w:val="ListNumber"/>
      </w:pPr>
      <w:r>
        <w:t>Confirm the assignment.</w:t>
      </w:r>
    </w:p>
    <w:p>
      <w:pPr>
        <w:pStyle w:val="ListNumber"/>
      </w:pPr>
      <w:r>
        <w:t>Validate with a non-admin user associated with the business role. Confirm that the user sees only resources/findings intended for that segment.</w:t>
      </w:r>
    </w:p>
    <w:p>
      <w:r>
        <w:rPr>
          <w:b/>
        </w:rPr>
        <w:t xml:space="preserve">Control point: </w:t>
      </w:r>
      <w:r>
        <w:t>Do not bulk-assign accounts solely because a text string matches unless ownership/business scope has been verified. The transcript demonstrates the naming-based search method but does not define the final production control.</w:t>
      </w:r>
    </w:p>
    <w:p>
      <w:pPr>
        <w:pStyle w:val="Heading1"/>
      </w:pPr>
      <w:r>
        <w:t>5. Procedure — Identity / Division Segmentation</w:t>
      </w:r>
    </w:p>
    <w:p>
      <w:r>
        <w:t>The source discussions define the required mapping and validation sequence, but they do not provide a complete Entro click path for configuring the mapping. Therefore, this section documents the required technical behavior rather than inventing UI steps.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2F3"/>
            <w:vAlign w:val="center"/>
            <w:tcMar>
              <w:top w:w="90" w:type="dxa"/>
              <w:start w:w="90" w:type="dxa"/>
              <w:bottom w:w="90" w:type="dxa"/>
              <w:end w:w="90" w:type="dxa"/>
            </w:tcMar>
          </w:tcPr>
          <w:p>
            <w:r>
              <w:rPr>
                <w:b/>
                <w:sz w:val="18"/>
              </w:rPr>
              <w:t>Step</w:t>
            </w:r>
          </w:p>
        </w:tc>
        <w:tc>
          <w:tcPr>
            <w:tcW w:type="dxa" w:w="3408"/>
            <w:shd w:fill="D9E2F3"/>
            <w:vAlign w:val="center"/>
            <w:tcMar>
              <w:top w:w="90" w:type="dxa"/>
              <w:start w:w="90" w:type="dxa"/>
              <w:bottom w:w="90" w:type="dxa"/>
              <w:end w:w="90" w:type="dxa"/>
            </w:tcMar>
          </w:tcPr>
          <w:p>
            <w:r>
              <w:rPr>
                <w:b/>
                <w:sz w:val="18"/>
              </w:rPr>
              <w:t>Required activity</w:t>
            </w:r>
          </w:p>
        </w:tc>
        <w:tc>
          <w:tcPr>
            <w:tcW w:type="dxa" w:w="3408"/>
            <w:shd w:fill="D9E2F3"/>
            <w:vAlign w:val="center"/>
            <w:tcMar>
              <w:top w:w="90" w:type="dxa"/>
              <w:start w:w="90" w:type="dxa"/>
              <w:bottom w:w="90" w:type="dxa"/>
              <w:end w:w="90" w:type="dxa"/>
            </w:tcMar>
          </w:tcPr>
          <w:p>
            <w:r>
              <w:rPr>
                <w:b/>
                <w:sz w:val="18"/>
              </w:rPr>
              <w:t>Pass condition</w:t>
            </w:r>
          </w:p>
        </w:tc>
      </w:tr>
      <w:tr>
        <w:tc>
          <w:tcPr>
            <w:tcW w:type="dxa" w:w="3408"/>
            <w:vAlign w:val="top"/>
            <w:tcMar>
              <w:top w:w="90" w:type="dxa"/>
              <w:start w:w="90" w:type="dxa"/>
              <w:bottom w:w="90" w:type="dxa"/>
              <w:end w:w="90" w:type="dxa"/>
            </w:tcMar>
          </w:tcPr>
          <w:p>
            <w:r>
              <w:rPr>
                <w:sz w:val="18"/>
              </w:rPr>
              <w:t>1</w:t>
            </w:r>
          </w:p>
        </w:tc>
        <w:tc>
          <w:tcPr>
            <w:tcW w:type="dxa" w:w="3408"/>
            <w:vAlign w:val="top"/>
            <w:tcMar>
              <w:top w:w="90" w:type="dxa"/>
              <w:start w:w="90" w:type="dxa"/>
              <w:bottom w:w="90" w:type="dxa"/>
              <w:end w:w="90" w:type="dxa"/>
            </w:tcMar>
          </w:tcPr>
          <w:p>
            <w:r>
              <w:rPr>
                <w:sz w:val="18"/>
              </w:rPr>
              <w:t>Confirm SailPoint Division Description is the authoritative source value used for Division segmentation.</w:t>
            </w:r>
          </w:p>
        </w:tc>
        <w:tc>
          <w:tcPr>
            <w:tcW w:type="dxa" w:w="3408"/>
            <w:vAlign w:val="top"/>
            <w:tcMar>
              <w:top w:w="90" w:type="dxa"/>
              <w:start w:w="90" w:type="dxa"/>
              <w:bottom w:w="90" w:type="dxa"/>
              <w:end w:w="90" w:type="dxa"/>
            </w:tcMar>
          </w:tcPr>
          <w:p>
            <w:r>
              <w:rPr>
                <w:sz w:val="18"/>
              </w:rPr>
              <w:t>Source field and sample values are confirmed.</w:t>
            </w:r>
          </w:p>
        </w:tc>
      </w:tr>
      <w:tr>
        <w:tc>
          <w:tcPr>
            <w:tcW w:type="dxa" w:w="3408"/>
            <w:vAlign w:val="top"/>
            <w:tcMar>
              <w:top w:w="90" w:type="dxa"/>
              <w:start w:w="90" w:type="dxa"/>
              <w:bottom w:w="90" w:type="dxa"/>
              <w:end w:w="90" w:type="dxa"/>
            </w:tcMar>
          </w:tcPr>
          <w:p>
            <w:r>
              <w:rPr>
                <w:sz w:val="18"/>
              </w:rPr>
              <w:t>2</w:t>
            </w:r>
          </w:p>
        </w:tc>
        <w:tc>
          <w:tcPr>
            <w:tcW w:type="dxa" w:w="3408"/>
            <w:vAlign w:val="top"/>
            <w:tcMar>
              <w:top w:w="90" w:type="dxa"/>
              <w:start w:w="90" w:type="dxa"/>
              <w:bottom w:w="90" w:type="dxa"/>
              <w:end w:w="90" w:type="dxa"/>
            </w:tcMar>
          </w:tcPr>
          <w:p>
            <w:r>
              <w:rPr>
                <w:sz w:val="18"/>
              </w:rPr>
              <w:t>Confirm Entro maps that source value to the Entro Division field.</w:t>
            </w:r>
          </w:p>
        </w:tc>
        <w:tc>
          <w:tcPr>
            <w:tcW w:type="dxa" w:w="3408"/>
            <w:vAlign w:val="top"/>
            <w:tcMar>
              <w:top w:w="90" w:type="dxa"/>
              <w:start w:w="90" w:type="dxa"/>
              <w:bottom w:w="90" w:type="dxa"/>
              <w:end w:w="90" w:type="dxa"/>
            </w:tcMar>
          </w:tcPr>
          <w:p>
            <w:r>
              <w:rPr>
                <w:sz w:val="18"/>
              </w:rPr>
              <w:t>Mapping is configured and no longer using the previously incorrect field relationship.</w:t>
            </w:r>
          </w:p>
        </w:tc>
      </w:tr>
      <w:tr>
        <w:tc>
          <w:tcPr>
            <w:tcW w:type="dxa" w:w="3408"/>
            <w:vAlign w:val="top"/>
            <w:tcMar>
              <w:top w:w="90" w:type="dxa"/>
              <w:start w:w="90" w:type="dxa"/>
              <w:bottom w:w="90" w:type="dxa"/>
              <w:end w:w="90" w:type="dxa"/>
            </w:tcMar>
          </w:tcPr>
          <w:p>
            <w:r>
              <w:rPr>
                <w:sz w:val="18"/>
              </w:rPr>
              <w:t>3</w:t>
            </w:r>
          </w:p>
        </w:tc>
        <w:tc>
          <w:tcPr>
            <w:tcW w:type="dxa" w:w="3408"/>
            <w:vAlign w:val="top"/>
            <w:tcMar>
              <w:top w:w="90" w:type="dxa"/>
              <w:start w:w="90" w:type="dxa"/>
              <w:bottom w:w="90" w:type="dxa"/>
              <w:end w:w="90" w:type="dxa"/>
            </w:tcMar>
          </w:tcPr>
          <w:p>
            <w:r>
              <w:rPr>
                <w:sz w:val="18"/>
              </w:rPr>
              <w:t>Test a straightforward division such as Television.</w:t>
            </w:r>
          </w:p>
        </w:tc>
        <w:tc>
          <w:tcPr>
            <w:tcW w:type="dxa" w:w="3408"/>
            <w:vAlign w:val="top"/>
            <w:tcMar>
              <w:top w:w="90" w:type="dxa"/>
              <w:start w:w="90" w:type="dxa"/>
              <w:bottom w:w="90" w:type="dxa"/>
              <w:end w:w="90" w:type="dxa"/>
            </w:tcMar>
          </w:tcPr>
          <w:p>
            <w:r>
              <w:rPr>
                <w:sz w:val="18"/>
              </w:rPr>
              <w:t>User/resource scope aligns to Television.</w:t>
            </w:r>
          </w:p>
        </w:tc>
      </w:tr>
      <w:tr>
        <w:tc>
          <w:tcPr>
            <w:tcW w:type="dxa" w:w="3408"/>
            <w:vAlign w:val="top"/>
            <w:tcMar>
              <w:top w:w="90" w:type="dxa"/>
              <w:start w:w="90" w:type="dxa"/>
              <w:bottom w:w="90" w:type="dxa"/>
              <w:end w:w="90" w:type="dxa"/>
            </w:tcMar>
          </w:tcPr>
          <w:p>
            <w:r>
              <w:rPr>
                <w:sz w:val="18"/>
              </w:rPr>
              <w:t>4</w:t>
            </w:r>
          </w:p>
        </w:tc>
        <w:tc>
          <w:tcPr>
            <w:tcW w:type="dxa" w:w="3408"/>
            <w:vAlign w:val="top"/>
            <w:tcMar>
              <w:top w:w="90" w:type="dxa"/>
              <w:start w:w="90" w:type="dxa"/>
              <w:bottom w:w="90" w:type="dxa"/>
              <w:end w:w="90" w:type="dxa"/>
            </w:tcMar>
          </w:tcPr>
          <w:p>
            <w:r>
              <w:rPr>
                <w:sz w:val="18"/>
              </w:rPr>
              <w:t>Test a second straightforward division such as Newspapers.</w:t>
            </w:r>
          </w:p>
        </w:tc>
        <w:tc>
          <w:tcPr>
            <w:tcW w:type="dxa" w:w="3408"/>
            <w:vAlign w:val="top"/>
            <w:tcMar>
              <w:top w:w="90" w:type="dxa"/>
              <w:start w:w="90" w:type="dxa"/>
              <w:bottom w:w="90" w:type="dxa"/>
              <w:end w:w="90" w:type="dxa"/>
            </w:tcMar>
          </w:tcPr>
          <w:p>
            <w:r>
              <w:rPr>
                <w:sz w:val="18"/>
              </w:rPr>
              <w:t>User/resource scope aligns to Newspapers.</w:t>
            </w:r>
          </w:p>
        </w:tc>
      </w:tr>
      <w:tr>
        <w:tc>
          <w:tcPr>
            <w:tcW w:type="dxa" w:w="3408"/>
            <w:vAlign w:val="top"/>
            <w:tcMar>
              <w:top w:w="90" w:type="dxa"/>
              <w:start w:w="90" w:type="dxa"/>
              <w:bottom w:w="90" w:type="dxa"/>
              <w:end w:w="90" w:type="dxa"/>
            </w:tcMar>
          </w:tcPr>
          <w:p>
            <w:r>
              <w:rPr>
                <w:sz w:val="18"/>
              </w:rPr>
              <w:t>5</w:t>
            </w:r>
          </w:p>
        </w:tc>
        <w:tc>
          <w:tcPr>
            <w:tcW w:type="dxa" w:w="3408"/>
            <w:vAlign w:val="top"/>
            <w:tcMar>
              <w:top w:w="90" w:type="dxa"/>
              <w:start w:w="90" w:type="dxa"/>
              <w:bottom w:w="90" w:type="dxa"/>
              <w:end w:w="90" w:type="dxa"/>
            </w:tcMar>
          </w:tcPr>
          <w:p>
            <w:r>
              <w:rPr>
                <w:sz w:val="18"/>
              </w:rPr>
              <w:t>Capture screenshots and test evidence.</w:t>
            </w:r>
          </w:p>
        </w:tc>
        <w:tc>
          <w:tcPr>
            <w:tcW w:type="dxa" w:w="3408"/>
            <w:vAlign w:val="top"/>
            <w:tcMar>
              <w:top w:w="90" w:type="dxa"/>
              <w:start w:w="90" w:type="dxa"/>
              <w:bottom w:w="90" w:type="dxa"/>
              <w:end w:w="90" w:type="dxa"/>
            </w:tcMar>
          </w:tcPr>
          <w:p>
            <w:r>
              <w:rPr>
                <w:sz w:val="18"/>
              </w:rPr>
              <w:t>Evidence is stored with this document.</w:t>
            </w:r>
          </w:p>
        </w:tc>
      </w:tr>
      <w:tr>
        <w:tc>
          <w:tcPr>
            <w:tcW w:type="dxa" w:w="3408"/>
            <w:vAlign w:val="top"/>
            <w:tcMar>
              <w:top w:w="90" w:type="dxa"/>
              <w:start w:w="90" w:type="dxa"/>
              <w:bottom w:w="90" w:type="dxa"/>
              <w:end w:w="90" w:type="dxa"/>
            </w:tcMar>
          </w:tcPr>
          <w:p>
            <w:r>
              <w:rPr>
                <w:sz w:val="18"/>
              </w:rPr>
              <w:t>6</w:t>
            </w:r>
          </w:p>
        </w:tc>
        <w:tc>
          <w:tcPr>
            <w:tcW w:type="dxa" w:w="3408"/>
            <w:vAlign w:val="top"/>
            <w:tcMar>
              <w:top w:w="90" w:type="dxa"/>
              <w:start w:w="90" w:type="dxa"/>
              <w:bottom w:w="90" w:type="dxa"/>
              <w:end w:w="90" w:type="dxa"/>
            </w:tcMar>
          </w:tcPr>
          <w:p>
            <w:r>
              <w:rPr>
                <w:sz w:val="18"/>
              </w:rPr>
              <w:t>Record exceptions where Division is insufficient.</w:t>
            </w:r>
          </w:p>
        </w:tc>
        <w:tc>
          <w:tcPr>
            <w:tcW w:type="dxa" w:w="3408"/>
            <w:vAlign w:val="top"/>
            <w:tcMar>
              <w:top w:w="90" w:type="dxa"/>
              <w:start w:w="90" w:type="dxa"/>
              <w:bottom w:w="90" w:type="dxa"/>
              <w:end w:w="90" w:type="dxa"/>
            </w:tcMar>
          </w:tcPr>
          <w:p>
            <w:r>
              <w:rPr>
                <w:sz w:val="18"/>
              </w:rPr>
              <w:t>HTS and Magazines are routed to expanded Company/Department logic.</w:t>
            </w:r>
          </w:p>
        </w:tc>
      </w:tr>
    </w:tbl>
    <w:p/>
    <w:p>
      <w:pPr>
        <w:pStyle w:val="Heading1"/>
      </w:pPr>
      <w:r>
        <w:t>6. HTS Segmentation Design</w:t>
      </w:r>
    </w:p>
    <w:p>
      <w:r>
        <w:t>HTS is the primary pilot discussed in the calls. It is not represented as a standalone Division; it sits within Corporate and includes multiple companies. This makes Division-only segmentation too broad for the target operating model.</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Mar>
              <w:top w:w="90" w:type="dxa"/>
              <w:start w:w="90" w:type="dxa"/>
              <w:bottom w:w="90" w:type="dxa"/>
              <w:end w:w="90" w:type="dxa"/>
            </w:tcMar>
          </w:tcPr>
          <w:p>
            <w:r>
              <w:rPr>
                <w:b/>
                <w:sz w:val="18"/>
              </w:rPr>
              <w:t>Component</w:t>
            </w:r>
          </w:p>
        </w:tc>
        <w:tc>
          <w:tcPr>
            <w:tcW w:type="dxa" w:w="5112"/>
            <w:shd w:fill="D9E2F3"/>
            <w:vAlign w:val="center"/>
            <w:tcMar>
              <w:top w:w="90" w:type="dxa"/>
              <w:start w:w="90" w:type="dxa"/>
              <w:bottom w:w="90" w:type="dxa"/>
              <w:end w:w="90" w:type="dxa"/>
            </w:tcMar>
          </w:tcPr>
          <w:p>
            <w:r>
              <w:rPr>
                <w:b/>
                <w:sz w:val="18"/>
              </w:rPr>
              <w:t>Current / intended treatment</w:t>
            </w:r>
          </w:p>
        </w:tc>
      </w:tr>
      <w:tr>
        <w:tc>
          <w:tcPr>
            <w:tcW w:type="dxa" w:w="5112"/>
            <w:vAlign w:val="top"/>
            <w:tcMar>
              <w:top w:w="90" w:type="dxa"/>
              <w:start w:w="90" w:type="dxa"/>
              <w:bottom w:w="90" w:type="dxa"/>
              <w:end w:w="90" w:type="dxa"/>
            </w:tcMar>
          </w:tcPr>
          <w:p>
            <w:r>
              <w:rPr>
                <w:sz w:val="18"/>
              </w:rPr>
              <w:t>Identity population</w:t>
            </w:r>
          </w:p>
        </w:tc>
        <w:tc>
          <w:tcPr>
            <w:tcW w:type="dxa" w:w="5112"/>
            <w:vAlign w:val="top"/>
            <w:tcMar>
              <w:top w:w="90" w:type="dxa"/>
              <w:start w:w="90" w:type="dxa"/>
              <w:bottom w:w="90" w:type="dxa"/>
              <w:end w:w="90" w:type="dxa"/>
            </w:tcMar>
          </w:tcPr>
          <w:p>
            <w:r>
              <w:rPr>
                <w:sz w:val="18"/>
              </w:rPr>
              <w:t>Use the existing HTS role in SailPoint as part of the access/segment model.</w:t>
            </w:r>
          </w:p>
        </w:tc>
      </w:tr>
      <w:tr>
        <w:tc>
          <w:tcPr>
            <w:tcW w:type="dxa" w:w="5112"/>
            <w:vAlign w:val="top"/>
            <w:tcMar>
              <w:top w:w="90" w:type="dxa"/>
              <w:start w:w="90" w:type="dxa"/>
              <w:bottom w:w="90" w:type="dxa"/>
              <w:end w:w="90" w:type="dxa"/>
            </w:tcMar>
          </w:tcPr>
          <w:p>
            <w:r>
              <w:rPr>
                <w:sz w:val="18"/>
              </w:rPr>
              <w:t>Cloud/account scope</w:t>
            </w:r>
          </w:p>
        </w:tc>
        <w:tc>
          <w:tcPr>
            <w:tcW w:type="dxa" w:w="5112"/>
            <w:vAlign w:val="top"/>
            <w:tcMar>
              <w:top w:w="90" w:type="dxa"/>
              <w:start w:w="90" w:type="dxa"/>
              <w:bottom w:w="90" w:type="dxa"/>
              <w:end w:w="90" w:type="dxa"/>
            </w:tcMar>
          </w:tcPr>
          <w:p>
            <w:r>
              <w:rPr>
                <w:sz w:val="18"/>
              </w:rPr>
              <w:t>HTS AWS prod/non-prod resources were tagged to the HTS segment for the connector-level POC.</w:t>
            </w:r>
          </w:p>
        </w:tc>
      </w:tr>
      <w:tr>
        <w:tc>
          <w:tcPr>
            <w:tcW w:type="dxa" w:w="5112"/>
            <w:vAlign w:val="top"/>
            <w:tcMar>
              <w:top w:w="90" w:type="dxa"/>
              <w:start w:w="90" w:type="dxa"/>
              <w:bottom w:w="90" w:type="dxa"/>
              <w:end w:w="90" w:type="dxa"/>
            </w:tcMar>
          </w:tcPr>
          <w:p>
            <w:r>
              <w:rPr>
                <w:sz w:val="18"/>
              </w:rPr>
              <w:t>Division</w:t>
            </w:r>
          </w:p>
        </w:tc>
        <w:tc>
          <w:tcPr>
            <w:tcW w:type="dxa" w:w="5112"/>
            <w:vAlign w:val="top"/>
            <w:tcMar>
              <w:top w:w="90" w:type="dxa"/>
              <w:start w:w="90" w:type="dxa"/>
              <w:bottom w:w="90" w:type="dxa"/>
              <w:end w:w="90" w:type="dxa"/>
            </w:tcMar>
          </w:tcPr>
          <w:p>
            <w:r>
              <w:rPr>
                <w:sz w:val="18"/>
              </w:rPr>
              <w:t>Corporate is too broad to be the final HTS discriminator.</w:t>
            </w:r>
          </w:p>
        </w:tc>
      </w:tr>
      <w:tr>
        <w:tc>
          <w:tcPr>
            <w:tcW w:type="dxa" w:w="5112"/>
            <w:vAlign w:val="top"/>
            <w:tcMar>
              <w:top w:w="90" w:type="dxa"/>
              <w:start w:w="90" w:type="dxa"/>
              <w:bottom w:w="90" w:type="dxa"/>
              <w:end w:w="90" w:type="dxa"/>
            </w:tcMar>
          </w:tcPr>
          <w:p>
            <w:r>
              <w:rPr>
                <w:sz w:val="18"/>
              </w:rPr>
              <w:t>Company</w:t>
            </w:r>
          </w:p>
        </w:tc>
        <w:tc>
          <w:tcPr>
            <w:tcW w:type="dxa" w:w="5112"/>
            <w:vAlign w:val="top"/>
            <w:tcMar>
              <w:top w:w="90" w:type="dxa"/>
              <w:start w:w="90" w:type="dxa"/>
              <w:bottom w:w="90" w:type="dxa"/>
              <w:end w:w="90" w:type="dxa"/>
            </w:tcMar>
          </w:tcPr>
          <w:p>
            <w:r>
              <w:rPr>
                <w:sz w:val="18"/>
              </w:rPr>
              <w:t>Required as an additional attribute for HTS segmentation.</w:t>
            </w:r>
          </w:p>
        </w:tc>
      </w:tr>
      <w:tr>
        <w:tc>
          <w:tcPr>
            <w:tcW w:type="dxa" w:w="5112"/>
            <w:vAlign w:val="top"/>
            <w:tcMar>
              <w:top w:w="90" w:type="dxa"/>
              <w:start w:w="90" w:type="dxa"/>
              <w:bottom w:w="90" w:type="dxa"/>
              <w:end w:w="90" w:type="dxa"/>
            </w:tcMar>
          </w:tcPr>
          <w:p>
            <w:r>
              <w:rPr>
                <w:sz w:val="18"/>
              </w:rPr>
              <w:t>Department</w:t>
            </w:r>
          </w:p>
        </w:tc>
        <w:tc>
          <w:tcPr>
            <w:tcW w:type="dxa" w:w="5112"/>
            <w:vAlign w:val="top"/>
            <w:tcMar>
              <w:top w:w="90" w:type="dxa"/>
              <w:start w:w="90" w:type="dxa"/>
              <w:bottom w:w="90" w:type="dxa"/>
              <w:end w:w="90" w:type="dxa"/>
            </w:tcMar>
          </w:tcPr>
          <w:p>
            <w:r>
              <w:rPr>
                <w:sz w:val="18"/>
              </w:rPr>
              <w:t>May be required depending on the final logic; the broader enhancement request includes Department.</w:t>
            </w:r>
          </w:p>
        </w:tc>
      </w:tr>
      <w:tr>
        <w:tc>
          <w:tcPr>
            <w:tcW w:type="dxa" w:w="5112"/>
            <w:vAlign w:val="top"/>
            <w:tcMar>
              <w:top w:w="90" w:type="dxa"/>
              <w:start w:w="90" w:type="dxa"/>
              <w:bottom w:w="90" w:type="dxa"/>
              <w:end w:w="90" w:type="dxa"/>
            </w:tcMar>
          </w:tcPr>
          <w:p>
            <w:r>
              <w:rPr>
                <w:sz w:val="18"/>
              </w:rPr>
              <w:t>Pilot validation</w:t>
            </w:r>
          </w:p>
        </w:tc>
        <w:tc>
          <w:tcPr>
            <w:tcW w:type="dxa" w:w="5112"/>
            <w:vAlign w:val="top"/>
            <w:tcMar>
              <w:top w:w="90" w:type="dxa"/>
              <w:start w:w="90" w:type="dxa"/>
              <w:bottom w:w="90" w:type="dxa"/>
              <w:end w:w="90" w:type="dxa"/>
            </w:tcMar>
          </w:tcPr>
          <w:p>
            <w:r>
              <w:rPr>
                <w:sz w:val="18"/>
              </w:rPr>
              <w:t>HTS should be used before broader business rollout; downstream workflows depend on reliable segmentation.</w:t>
            </w:r>
          </w:p>
        </w:tc>
      </w:tr>
    </w:tbl>
    <w:p/>
    <w:p>
      <w:pPr>
        <w:pStyle w:val="Heading1"/>
      </w:pPr>
      <w:r>
        <w:t>7. AWS / Account Segmentation and Day-2 Operations</w:t>
      </w:r>
    </w:p>
    <w:p>
      <w:r>
        <w:t>The critical AWS question is not only how accounts are segmented during initial onboarding, but how newly created accounts are assigned correctly afterward. The cloud account factory can create new AWS accounts continuously, so a one-time bulk action is not sufficient as the final operating model.</w:t>
      </w:r>
    </w:p>
    <w:p>
      <w:pPr>
        <w:pStyle w:val="Heading2"/>
      </w:pPr>
      <w:r>
        <w:t>7.1 Current manual pattern</w:t>
      </w:r>
    </w:p>
    <w:p>
      <w:r>
        <w:t>1.  Search/filter AWS accounts using the applicable business identifier (HTS was the demonstrated example).</w:t>
      </w:r>
    </w:p>
    <w:p>
      <w:r>
        <w:t>2.  Select the matching accounts.</w:t>
      </w:r>
    </w:p>
    <w:p>
      <w:r>
        <w:t>3.  Bulk-assign them to the corresponding Entro segment.</w:t>
      </w:r>
    </w:p>
    <w:p>
      <w:r>
        <w:t>4.  Validate the resulting scope.</w:t>
      </w:r>
    </w:p>
    <w:p>
      <w:pPr>
        <w:pStyle w:val="Heading2"/>
      </w:pPr>
      <w:r>
        <w:t>7.2 Required production behavior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2F3"/>
            <w:vAlign w:val="center"/>
            <w:tcMar>
              <w:top w:w="90" w:type="dxa"/>
              <w:start w:w="90" w:type="dxa"/>
              <w:bottom w:w="90" w:type="dxa"/>
              <w:end w:w="90" w:type="dxa"/>
            </w:tcMar>
          </w:tcPr>
          <w:p>
            <w:r>
              <w:rPr>
                <w:b/>
                <w:sz w:val="18"/>
              </w:rPr>
              <w:t>Requirement</w:t>
            </w:r>
          </w:p>
        </w:tc>
        <w:tc>
          <w:tcPr>
            <w:tcW w:type="dxa" w:w="3408"/>
            <w:shd w:fill="D9E2F3"/>
            <w:vAlign w:val="center"/>
            <w:tcMar>
              <w:top w:w="90" w:type="dxa"/>
              <w:start w:w="90" w:type="dxa"/>
              <w:bottom w:w="90" w:type="dxa"/>
              <w:end w:w="90" w:type="dxa"/>
            </w:tcMar>
          </w:tcPr>
          <w:p>
            <w:r>
              <w:rPr>
                <w:b/>
                <w:sz w:val="18"/>
              </w:rPr>
              <w:t>Current understanding</w:t>
            </w:r>
          </w:p>
        </w:tc>
        <w:tc>
          <w:tcPr>
            <w:tcW w:type="dxa" w:w="3408"/>
            <w:shd w:fill="D9E2F3"/>
            <w:vAlign w:val="center"/>
            <w:tcMar>
              <w:top w:w="90" w:type="dxa"/>
              <w:start w:w="90" w:type="dxa"/>
              <w:bottom w:w="90" w:type="dxa"/>
              <w:end w:w="90" w:type="dxa"/>
            </w:tcMar>
          </w:tcPr>
          <w:p>
            <w:r>
              <w:rPr>
                <w:b/>
                <w:sz w:val="18"/>
              </w:rPr>
              <w:t>Status</w:t>
            </w:r>
          </w:p>
        </w:tc>
      </w:tr>
      <w:tr>
        <w:tc>
          <w:tcPr>
            <w:tcW w:type="dxa" w:w="3408"/>
            <w:vAlign w:val="top"/>
            <w:tcMar>
              <w:top w:w="90" w:type="dxa"/>
              <w:start w:w="90" w:type="dxa"/>
              <w:bottom w:w="90" w:type="dxa"/>
              <w:end w:w="90" w:type="dxa"/>
            </w:tcMar>
          </w:tcPr>
          <w:p>
            <w:r>
              <w:rPr>
                <w:sz w:val="18"/>
              </w:rPr>
              <w:t>New-account detection</w:t>
            </w:r>
          </w:p>
        </w:tc>
        <w:tc>
          <w:tcPr>
            <w:tcW w:type="dxa" w:w="3408"/>
            <w:vAlign w:val="top"/>
            <w:tcMar>
              <w:top w:w="90" w:type="dxa"/>
              <w:start w:w="90" w:type="dxa"/>
              <w:bottom w:w="90" w:type="dxa"/>
              <w:end w:w="90" w:type="dxa"/>
            </w:tcMar>
          </w:tcPr>
          <w:p>
            <w:r>
              <w:rPr>
                <w:sz w:val="18"/>
              </w:rPr>
              <w:t>New AWS accounts created after onboarding must be recognized without relying on someone remembering to check manually.</w:t>
            </w:r>
          </w:p>
        </w:tc>
        <w:tc>
          <w:tcPr>
            <w:tcW w:type="dxa" w:w="3408"/>
            <w:vAlign w:val="top"/>
            <w:tcMar>
              <w:top w:w="90" w:type="dxa"/>
              <w:start w:w="90" w:type="dxa"/>
              <w:bottom w:w="90" w:type="dxa"/>
              <w:end w:w="90" w:type="dxa"/>
            </w:tcMar>
          </w:tcPr>
          <w:p>
            <w:r>
              <w:rPr>
                <w:sz w:val="18"/>
              </w:rPr>
              <w:t>Open</w:t>
            </w:r>
          </w:p>
        </w:tc>
      </w:tr>
      <w:tr>
        <w:tc>
          <w:tcPr>
            <w:tcW w:type="dxa" w:w="3408"/>
            <w:vAlign w:val="top"/>
            <w:tcMar>
              <w:top w:w="90" w:type="dxa"/>
              <w:start w:w="90" w:type="dxa"/>
              <w:bottom w:w="90" w:type="dxa"/>
              <w:end w:w="90" w:type="dxa"/>
            </w:tcMar>
          </w:tcPr>
          <w:p>
            <w:r>
              <w:rPr>
                <w:sz w:val="18"/>
              </w:rPr>
              <w:t>Business-to-segment mapping</w:t>
            </w:r>
          </w:p>
        </w:tc>
        <w:tc>
          <w:tcPr>
            <w:tcW w:type="dxa" w:w="3408"/>
            <w:vAlign w:val="top"/>
            <w:tcMar>
              <w:top w:w="90" w:type="dxa"/>
              <w:start w:w="90" w:type="dxa"/>
              <w:bottom w:w="90" w:type="dxa"/>
              <w:end w:w="90" w:type="dxa"/>
            </w:tcMar>
          </w:tcPr>
          <w:p>
            <w:r>
              <w:rPr>
                <w:sz w:val="18"/>
              </w:rPr>
              <w:t>A stable business identifier/naming convention may be used to determine the target segment.</w:t>
            </w:r>
          </w:p>
        </w:tc>
        <w:tc>
          <w:tcPr>
            <w:tcW w:type="dxa" w:w="3408"/>
            <w:vAlign w:val="top"/>
            <w:tcMar>
              <w:top w:w="90" w:type="dxa"/>
              <w:start w:w="90" w:type="dxa"/>
              <w:bottom w:w="90" w:type="dxa"/>
              <w:end w:w="90" w:type="dxa"/>
            </w:tcMar>
          </w:tcPr>
          <w:p>
            <w:r>
              <w:rPr>
                <w:sz w:val="18"/>
              </w:rPr>
              <w:t>Proposed in discussion; needs production confirmation</w:t>
            </w:r>
          </w:p>
        </w:tc>
      </w:tr>
      <w:tr>
        <w:tc>
          <w:tcPr>
            <w:tcW w:type="dxa" w:w="3408"/>
            <w:vAlign w:val="top"/>
            <w:tcMar>
              <w:top w:w="90" w:type="dxa"/>
              <w:start w:w="90" w:type="dxa"/>
              <w:bottom w:w="90" w:type="dxa"/>
              <w:end w:w="90" w:type="dxa"/>
            </w:tcMar>
          </w:tcPr>
          <w:p>
            <w:r>
              <w:rPr>
                <w:sz w:val="18"/>
              </w:rPr>
              <w:t>Automated assignment</w:t>
            </w:r>
          </w:p>
        </w:tc>
        <w:tc>
          <w:tcPr>
            <w:tcW w:type="dxa" w:w="3408"/>
            <w:vAlign w:val="top"/>
            <w:tcMar>
              <w:top w:w="90" w:type="dxa"/>
              <w:start w:w="90" w:type="dxa"/>
              <w:bottom w:w="90" w:type="dxa"/>
              <w:end w:w="90" w:type="dxa"/>
            </w:tcMar>
          </w:tcPr>
          <w:p>
            <w:r>
              <w:rPr>
                <w:sz w:val="18"/>
              </w:rPr>
              <w:t>The manual segment assignment action should be automated through an API/native capability if available.</w:t>
            </w:r>
          </w:p>
        </w:tc>
        <w:tc>
          <w:tcPr>
            <w:tcW w:type="dxa" w:w="3408"/>
            <w:vAlign w:val="top"/>
            <w:tcMar>
              <w:top w:w="90" w:type="dxa"/>
              <w:start w:w="90" w:type="dxa"/>
              <w:bottom w:w="90" w:type="dxa"/>
              <w:end w:w="90" w:type="dxa"/>
            </w:tcMar>
          </w:tcPr>
          <w:p>
            <w:r>
              <w:rPr>
                <w:sz w:val="18"/>
              </w:rPr>
              <w:t>Open / vendor follow-up</w:t>
            </w:r>
          </w:p>
        </w:tc>
      </w:tr>
      <w:tr>
        <w:tc>
          <w:tcPr>
            <w:tcW w:type="dxa" w:w="3408"/>
            <w:vAlign w:val="top"/>
            <w:tcMar>
              <w:top w:w="90" w:type="dxa"/>
              <w:start w:w="90" w:type="dxa"/>
              <w:bottom w:w="90" w:type="dxa"/>
              <w:end w:w="90" w:type="dxa"/>
            </w:tcMar>
          </w:tcPr>
          <w:p>
            <w:r>
              <w:rPr>
                <w:sz w:val="18"/>
              </w:rPr>
              <w:t>Operational owner</w:t>
            </w:r>
          </w:p>
        </w:tc>
        <w:tc>
          <w:tcPr>
            <w:tcW w:type="dxa" w:w="3408"/>
            <w:vAlign w:val="top"/>
            <w:tcMar>
              <w:top w:w="90" w:type="dxa"/>
              <w:start w:w="90" w:type="dxa"/>
              <w:bottom w:w="90" w:type="dxa"/>
              <w:end w:w="90" w:type="dxa"/>
            </w:tcMar>
          </w:tcPr>
          <w:p>
            <w:r>
              <w:rPr>
                <w:sz w:val="18"/>
              </w:rPr>
              <w:t>Someone/team must own the automation and exception handling.</w:t>
            </w:r>
          </w:p>
        </w:tc>
        <w:tc>
          <w:tcPr>
            <w:tcW w:type="dxa" w:w="3408"/>
            <w:vAlign w:val="top"/>
            <w:tcMar>
              <w:top w:w="90" w:type="dxa"/>
              <w:start w:w="90" w:type="dxa"/>
              <w:bottom w:w="90" w:type="dxa"/>
              <w:end w:w="90" w:type="dxa"/>
            </w:tcMar>
          </w:tcPr>
          <w:p>
            <w:r>
              <w:rPr>
                <w:sz w:val="18"/>
              </w:rPr>
              <w:t>TBD</w:t>
            </w:r>
          </w:p>
        </w:tc>
      </w:tr>
      <w:tr>
        <w:tc>
          <w:tcPr>
            <w:tcW w:type="dxa" w:w="3408"/>
            <w:vAlign w:val="top"/>
            <w:tcMar>
              <w:top w:w="90" w:type="dxa"/>
              <w:start w:w="90" w:type="dxa"/>
              <w:bottom w:w="90" w:type="dxa"/>
              <w:end w:w="90" w:type="dxa"/>
            </w:tcMar>
          </w:tcPr>
          <w:p>
            <w:r>
              <w:rPr>
                <w:sz w:val="18"/>
              </w:rPr>
              <w:t>Failure handling</w:t>
            </w:r>
          </w:p>
        </w:tc>
        <w:tc>
          <w:tcPr>
            <w:tcW w:type="dxa" w:w="3408"/>
            <w:vAlign w:val="top"/>
            <w:tcMar>
              <w:top w:w="90" w:type="dxa"/>
              <w:start w:w="90" w:type="dxa"/>
              <w:bottom w:w="90" w:type="dxa"/>
              <w:end w:w="90" w:type="dxa"/>
            </w:tcMar>
          </w:tcPr>
          <w:p>
            <w:r>
              <w:rPr>
                <w:sz w:val="18"/>
              </w:rPr>
              <w:t>Accounts that cannot be mapped must be surfaced for review rather than silently remaining unsegmented.</w:t>
            </w:r>
          </w:p>
        </w:tc>
        <w:tc>
          <w:tcPr>
            <w:tcW w:type="dxa" w:w="3408"/>
            <w:vAlign w:val="top"/>
            <w:tcMar>
              <w:top w:w="90" w:type="dxa"/>
              <w:start w:w="90" w:type="dxa"/>
              <w:bottom w:w="90" w:type="dxa"/>
              <w:end w:w="90" w:type="dxa"/>
            </w:tcMar>
          </w:tcPr>
          <w:p>
            <w:r>
              <w:rPr>
                <w:sz w:val="18"/>
              </w:rPr>
              <w:t>TBD</w:t>
            </w:r>
          </w:p>
        </w:tc>
      </w:tr>
    </w:tbl>
    <w:p/>
    <w:p>
      <w:r>
        <w:rPr>
          <w:b/>
        </w:rPr>
        <w:t xml:space="preserve">Vendor questions to close: </w:t>
      </w:r>
      <w:r>
        <w:t>Is segment assignment available through a supported API today? If not, what capability is planned, who owns it, and what is the committed delivery date?</w:t>
      </w:r>
    </w:p>
    <w:p>
      <w:pPr>
        <w:pStyle w:val="Heading1"/>
      </w:pPr>
      <w:r>
        <w:t>8. Validation and Evidence Requirements</w:t>
      </w:r>
    </w:p>
    <w:p>
      <w:r>
        <w:t>Every segmentation change should produce evidence. The project discussions repeatedly emphasized that screenshots alone are not enough; they must be tied to the technical configuration, expected result, and validation outcome.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2F3"/>
            <w:vAlign w:val="center"/>
            <w:tcMar>
              <w:top w:w="90" w:type="dxa"/>
              <w:start w:w="90" w:type="dxa"/>
              <w:bottom w:w="90" w:type="dxa"/>
              <w:end w:w="90" w:type="dxa"/>
            </w:tcMar>
          </w:tcPr>
          <w:p>
            <w:r>
              <w:rPr>
                <w:b/>
                <w:sz w:val="18"/>
              </w:rPr>
              <w:t>Test</w:t>
            </w:r>
          </w:p>
        </w:tc>
        <w:tc>
          <w:tcPr>
            <w:tcW w:type="dxa" w:w="3408"/>
            <w:shd w:fill="D9E2F3"/>
            <w:vAlign w:val="center"/>
            <w:tcMar>
              <w:top w:w="90" w:type="dxa"/>
              <w:start w:w="90" w:type="dxa"/>
              <w:bottom w:w="90" w:type="dxa"/>
              <w:end w:w="90" w:type="dxa"/>
            </w:tcMar>
          </w:tcPr>
          <w:p>
            <w:r>
              <w:rPr>
                <w:b/>
                <w:sz w:val="18"/>
              </w:rPr>
              <w:t>Expected result</w:t>
            </w:r>
          </w:p>
        </w:tc>
        <w:tc>
          <w:tcPr>
            <w:tcW w:type="dxa" w:w="3408"/>
            <w:shd w:fill="D9E2F3"/>
            <w:vAlign w:val="center"/>
            <w:tcMar>
              <w:top w:w="90" w:type="dxa"/>
              <w:start w:w="90" w:type="dxa"/>
              <w:bottom w:w="90" w:type="dxa"/>
              <w:end w:w="90" w:type="dxa"/>
            </w:tcMar>
          </w:tcPr>
          <w:p>
            <w:r>
              <w:rPr>
                <w:b/>
                <w:sz w:val="18"/>
              </w:rPr>
              <w:t>Evidence to retain</w:t>
            </w:r>
          </w:p>
        </w:tc>
      </w:tr>
      <w:tr>
        <w:tc>
          <w:tcPr>
            <w:tcW w:type="dxa" w:w="3408"/>
            <w:vAlign w:val="top"/>
            <w:tcMar>
              <w:top w:w="90" w:type="dxa"/>
              <w:start w:w="90" w:type="dxa"/>
              <w:bottom w:w="90" w:type="dxa"/>
              <w:end w:w="90" w:type="dxa"/>
            </w:tcMar>
          </w:tcPr>
          <w:p>
            <w:r>
              <w:rPr>
                <w:sz w:val="18"/>
              </w:rPr>
              <w:t>HTS connector-level visibility</w:t>
            </w:r>
          </w:p>
        </w:tc>
        <w:tc>
          <w:tcPr>
            <w:tcW w:type="dxa" w:w="3408"/>
            <w:vAlign w:val="top"/>
            <w:tcMar>
              <w:top w:w="90" w:type="dxa"/>
              <w:start w:w="90" w:type="dxa"/>
              <w:bottom w:w="90" w:type="dxa"/>
              <w:end w:w="90" w:type="dxa"/>
            </w:tcMar>
          </w:tcPr>
          <w:p>
            <w:r>
              <w:rPr>
                <w:sz w:val="18"/>
              </w:rPr>
              <w:t>Non-admin HTS user sees only HTS-scoped accounts/findings.</w:t>
            </w:r>
          </w:p>
        </w:tc>
        <w:tc>
          <w:tcPr>
            <w:tcW w:type="dxa" w:w="3408"/>
            <w:vAlign w:val="top"/>
            <w:tcMar>
              <w:top w:w="90" w:type="dxa"/>
              <w:start w:w="90" w:type="dxa"/>
              <w:bottom w:w="90" w:type="dxa"/>
              <w:end w:w="90" w:type="dxa"/>
            </w:tcMar>
          </w:tcPr>
          <w:p>
            <w:r>
              <w:rPr>
                <w:sz w:val="18"/>
              </w:rPr>
              <w:t>Before/after screenshots; user role used; date/time; tester.</w:t>
            </w:r>
          </w:p>
        </w:tc>
      </w:tr>
      <w:tr>
        <w:tc>
          <w:tcPr>
            <w:tcW w:type="dxa" w:w="3408"/>
            <w:vAlign w:val="top"/>
            <w:tcMar>
              <w:top w:w="90" w:type="dxa"/>
              <w:start w:w="90" w:type="dxa"/>
              <w:bottom w:w="90" w:type="dxa"/>
              <w:end w:w="90" w:type="dxa"/>
            </w:tcMar>
          </w:tcPr>
          <w:p>
            <w:r>
              <w:rPr>
                <w:sz w:val="18"/>
              </w:rPr>
              <w:t>Television Division mapping</w:t>
            </w:r>
          </w:p>
        </w:tc>
        <w:tc>
          <w:tcPr>
            <w:tcW w:type="dxa" w:w="3408"/>
            <w:vAlign w:val="top"/>
            <w:tcMar>
              <w:top w:w="90" w:type="dxa"/>
              <w:start w:w="90" w:type="dxa"/>
              <w:bottom w:w="90" w:type="dxa"/>
              <w:end w:w="90" w:type="dxa"/>
            </w:tcMar>
          </w:tcPr>
          <w:p>
            <w:r>
              <w:rPr>
                <w:sz w:val="18"/>
              </w:rPr>
              <w:t>Identity/resource visibility is correctly scoped to Television.</w:t>
            </w:r>
          </w:p>
        </w:tc>
        <w:tc>
          <w:tcPr>
            <w:tcW w:type="dxa" w:w="3408"/>
            <w:vAlign w:val="top"/>
            <w:tcMar>
              <w:top w:w="90" w:type="dxa"/>
              <w:start w:w="90" w:type="dxa"/>
              <w:bottom w:w="90" w:type="dxa"/>
              <w:end w:w="90" w:type="dxa"/>
            </w:tcMar>
          </w:tcPr>
          <w:p>
            <w:r>
              <w:rPr>
                <w:sz w:val="18"/>
              </w:rPr>
              <w:t>Mapping screenshot; test identity; resulting Entro view.</w:t>
            </w:r>
          </w:p>
        </w:tc>
      </w:tr>
      <w:tr>
        <w:tc>
          <w:tcPr>
            <w:tcW w:type="dxa" w:w="3408"/>
            <w:vAlign w:val="top"/>
            <w:tcMar>
              <w:top w:w="90" w:type="dxa"/>
              <w:start w:w="90" w:type="dxa"/>
              <w:bottom w:w="90" w:type="dxa"/>
              <w:end w:w="90" w:type="dxa"/>
            </w:tcMar>
          </w:tcPr>
          <w:p>
            <w:r>
              <w:rPr>
                <w:sz w:val="18"/>
              </w:rPr>
              <w:t>Newspapers Division mapping</w:t>
            </w:r>
          </w:p>
        </w:tc>
        <w:tc>
          <w:tcPr>
            <w:tcW w:type="dxa" w:w="3408"/>
            <w:vAlign w:val="top"/>
            <w:tcMar>
              <w:top w:w="90" w:type="dxa"/>
              <w:start w:w="90" w:type="dxa"/>
              <w:bottom w:w="90" w:type="dxa"/>
              <w:end w:w="90" w:type="dxa"/>
            </w:tcMar>
          </w:tcPr>
          <w:p>
            <w:r>
              <w:rPr>
                <w:sz w:val="18"/>
              </w:rPr>
              <w:t>Identity/resource visibility is correctly scoped to Newspapers.</w:t>
            </w:r>
          </w:p>
        </w:tc>
        <w:tc>
          <w:tcPr>
            <w:tcW w:type="dxa" w:w="3408"/>
            <w:vAlign w:val="top"/>
            <w:tcMar>
              <w:top w:w="90" w:type="dxa"/>
              <w:start w:w="90" w:type="dxa"/>
              <w:bottom w:w="90" w:type="dxa"/>
              <w:end w:w="90" w:type="dxa"/>
            </w:tcMar>
          </w:tcPr>
          <w:p>
            <w:r>
              <w:rPr>
                <w:sz w:val="18"/>
              </w:rPr>
              <w:t>Mapping screenshot; test identity; resulting Entro view.</w:t>
            </w:r>
          </w:p>
        </w:tc>
      </w:tr>
      <w:tr>
        <w:tc>
          <w:tcPr>
            <w:tcW w:type="dxa" w:w="3408"/>
            <w:vAlign w:val="top"/>
            <w:tcMar>
              <w:top w:w="90" w:type="dxa"/>
              <w:start w:w="90" w:type="dxa"/>
              <w:bottom w:w="90" w:type="dxa"/>
              <w:end w:w="90" w:type="dxa"/>
            </w:tcMar>
          </w:tcPr>
          <w:p>
            <w:r>
              <w:rPr>
                <w:sz w:val="18"/>
              </w:rPr>
              <w:t>Company/Department logic</w:t>
            </w:r>
          </w:p>
        </w:tc>
        <w:tc>
          <w:tcPr>
            <w:tcW w:type="dxa" w:w="3408"/>
            <w:vAlign w:val="top"/>
            <w:tcMar>
              <w:top w:w="90" w:type="dxa"/>
              <w:start w:w="90" w:type="dxa"/>
              <w:bottom w:w="90" w:type="dxa"/>
              <w:end w:w="90" w:type="dxa"/>
            </w:tcMar>
          </w:tcPr>
          <w:p>
            <w:r>
              <w:rPr>
                <w:sz w:val="18"/>
              </w:rPr>
              <w:t>HTS/Magazines are correctly differentiated beyond Division.</w:t>
            </w:r>
          </w:p>
        </w:tc>
        <w:tc>
          <w:tcPr>
            <w:tcW w:type="dxa" w:w="3408"/>
            <w:vAlign w:val="top"/>
            <w:tcMar>
              <w:top w:w="90" w:type="dxa"/>
              <w:start w:w="90" w:type="dxa"/>
              <w:bottom w:w="90" w:type="dxa"/>
              <w:end w:w="90" w:type="dxa"/>
            </w:tcMar>
          </w:tcPr>
          <w:p>
            <w:r>
              <w:rPr>
                <w:sz w:val="18"/>
              </w:rPr>
              <w:t>Configuration screenshot and successful test cases.</w:t>
            </w:r>
          </w:p>
        </w:tc>
      </w:tr>
      <w:tr>
        <w:tc>
          <w:tcPr>
            <w:tcW w:type="dxa" w:w="3408"/>
            <w:vAlign w:val="top"/>
            <w:tcMar>
              <w:top w:w="90" w:type="dxa"/>
              <w:start w:w="90" w:type="dxa"/>
              <w:bottom w:w="90" w:type="dxa"/>
              <w:end w:w="90" w:type="dxa"/>
            </w:tcMar>
          </w:tcPr>
          <w:p>
            <w:r>
              <w:rPr>
                <w:sz w:val="18"/>
              </w:rPr>
              <w:t>AWS new-account assignment</w:t>
            </w:r>
          </w:p>
        </w:tc>
        <w:tc>
          <w:tcPr>
            <w:tcW w:type="dxa" w:w="3408"/>
            <w:vAlign w:val="top"/>
            <w:tcMar>
              <w:top w:w="90" w:type="dxa"/>
              <w:start w:w="90" w:type="dxa"/>
              <w:bottom w:w="90" w:type="dxa"/>
              <w:end w:w="90" w:type="dxa"/>
            </w:tcMar>
          </w:tcPr>
          <w:p>
            <w:r>
              <w:rPr>
                <w:sz w:val="18"/>
              </w:rPr>
              <w:t>A newly created AWS account is automatically placed in the correct segment.</w:t>
            </w:r>
          </w:p>
        </w:tc>
        <w:tc>
          <w:tcPr>
            <w:tcW w:type="dxa" w:w="3408"/>
            <w:vAlign w:val="top"/>
            <w:tcMar>
              <w:top w:w="90" w:type="dxa"/>
              <w:start w:w="90" w:type="dxa"/>
              <w:bottom w:w="90" w:type="dxa"/>
              <w:end w:w="90" w:type="dxa"/>
            </w:tcMar>
          </w:tcPr>
          <w:p>
            <w:r>
              <w:rPr>
                <w:sz w:val="18"/>
              </w:rPr>
              <w:t>Account creation evidence; automation/API log; Entro segment result.</w:t>
            </w:r>
          </w:p>
        </w:tc>
      </w:tr>
    </w:tbl>
    <w:p/>
    <w:p>
      <w:pPr>
        <w:pStyle w:val="Heading1"/>
      </w:pPr>
      <w:r>
        <w:t>9. Operating Model — Manual vs. Automated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2F3"/>
            <w:vAlign w:val="center"/>
            <w:tcMar>
              <w:top w:w="90" w:type="dxa"/>
              <w:start w:w="90" w:type="dxa"/>
              <w:bottom w:w="90" w:type="dxa"/>
              <w:end w:w="90" w:type="dxa"/>
            </w:tcMar>
          </w:tcPr>
          <w:p>
            <w:r>
              <w:rPr>
                <w:b/>
                <w:sz w:val="18"/>
              </w:rPr>
              <w:t>Activity</w:t>
            </w:r>
          </w:p>
        </w:tc>
        <w:tc>
          <w:tcPr>
            <w:tcW w:type="dxa" w:w="2556"/>
            <w:shd w:fill="D9E2F3"/>
            <w:vAlign w:val="center"/>
            <w:tcMar>
              <w:top w:w="90" w:type="dxa"/>
              <w:start w:w="90" w:type="dxa"/>
              <w:bottom w:w="90" w:type="dxa"/>
              <w:end w:w="90" w:type="dxa"/>
            </w:tcMar>
          </w:tcPr>
          <w:p>
            <w:r>
              <w:rPr>
                <w:b/>
                <w:sz w:val="18"/>
              </w:rPr>
              <w:t>Current mode</w:t>
            </w:r>
          </w:p>
        </w:tc>
        <w:tc>
          <w:tcPr>
            <w:tcW w:type="dxa" w:w="2556"/>
            <w:shd w:fill="D9E2F3"/>
            <w:vAlign w:val="center"/>
            <w:tcMar>
              <w:top w:w="90" w:type="dxa"/>
              <w:start w:w="90" w:type="dxa"/>
              <w:bottom w:w="90" w:type="dxa"/>
              <w:end w:w="90" w:type="dxa"/>
            </w:tcMar>
          </w:tcPr>
          <w:p>
            <w:r>
              <w:rPr>
                <w:b/>
                <w:sz w:val="18"/>
              </w:rPr>
              <w:t>Target mode</w:t>
            </w:r>
          </w:p>
        </w:tc>
        <w:tc>
          <w:tcPr>
            <w:tcW w:type="dxa" w:w="2556"/>
            <w:shd w:fill="D9E2F3"/>
            <w:vAlign w:val="center"/>
            <w:tcMar>
              <w:top w:w="90" w:type="dxa"/>
              <w:start w:w="90" w:type="dxa"/>
              <w:bottom w:w="90" w:type="dxa"/>
              <w:end w:w="90" w:type="dxa"/>
            </w:tcMar>
          </w:tcPr>
          <w:p>
            <w:r>
              <w:rPr>
                <w:b/>
                <w:sz w:val="18"/>
              </w:rPr>
              <w:t>Notes</w:t>
            </w:r>
          </w:p>
        </w:tc>
      </w:tr>
      <w:tr>
        <w:tc>
          <w:tcPr>
            <w:tcW w:type="dxa" w:w="2556"/>
            <w:vAlign w:val="top"/>
            <w:tcMar>
              <w:top w:w="90" w:type="dxa"/>
              <w:start w:w="90" w:type="dxa"/>
              <w:bottom w:w="90" w:type="dxa"/>
              <w:end w:w="90" w:type="dxa"/>
            </w:tcMar>
          </w:tcPr>
          <w:p>
            <w:r>
              <w:rPr>
                <w:sz w:val="18"/>
              </w:rPr>
              <w:t>Initial connector/account tagging</w:t>
            </w:r>
          </w:p>
        </w:tc>
        <w:tc>
          <w:tcPr>
            <w:tcW w:type="dxa" w:w="2556"/>
            <w:vAlign w:val="top"/>
            <w:tcMar>
              <w:top w:w="90" w:type="dxa"/>
              <w:start w:w="90" w:type="dxa"/>
              <w:bottom w:w="90" w:type="dxa"/>
              <w:end w:w="90" w:type="dxa"/>
            </w:tcMar>
          </w:tcPr>
          <w:p>
            <w:r>
              <w:rPr>
                <w:sz w:val="18"/>
              </w:rPr>
              <w:t>Manual bulk action demonstrated</w:t>
            </w:r>
          </w:p>
        </w:tc>
        <w:tc>
          <w:tcPr>
            <w:tcW w:type="dxa" w:w="2556"/>
            <w:vAlign w:val="top"/>
            <w:tcMar>
              <w:top w:w="90" w:type="dxa"/>
              <w:start w:w="90" w:type="dxa"/>
              <w:bottom w:w="90" w:type="dxa"/>
              <w:end w:w="90" w:type="dxa"/>
            </w:tcMar>
          </w:tcPr>
          <w:p>
            <w:r>
              <w:rPr>
                <w:sz w:val="18"/>
              </w:rPr>
              <w:t>Automated where reliable mapping exists</w:t>
            </w:r>
          </w:p>
        </w:tc>
        <w:tc>
          <w:tcPr>
            <w:tcW w:type="dxa" w:w="2556"/>
            <w:vAlign w:val="top"/>
            <w:tcMar>
              <w:top w:w="90" w:type="dxa"/>
              <w:start w:w="90" w:type="dxa"/>
              <w:bottom w:w="90" w:type="dxa"/>
              <w:end w:w="90" w:type="dxa"/>
            </w:tcMar>
          </w:tcPr>
          <w:p>
            <w:r>
              <w:rPr>
                <w:sz w:val="18"/>
              </w:rPr>
              <w:t>Keep manual process documented as fallback.</w:t>
            </w:r>
          </w:p>
        </w:tc>
      </w:tr>
      <w:tr>
        <w:tc>
          <w:tcPr>
            <w:tcW w:type="dxa" w:w="2556"/>
            <w:vAlign w:val="top"/>
            <w:tcMar>
              <w:top w:w="90" w:type="dxa"/>
              <w:start w:w="90" w:type="dxa"/>
              <w:bottom w:w="90" w:type="dxa"/>
              <w:end w:w="90" w:type="dxa"/>
            </w:tcMar>
          </w:tcPr>
          <w:p>
            <w:r>
              <w:rPr>
                <w:sz w:val="18"/>
              </w:rPr>
              <w:t>Division-based user segmentation</w:t>
            </w:r>
          </w:p>
        </w:tc>
        <w:tc>
          <w:tcPr>
            <w:tcW w:type="dxa" w:w="2556"/>
            <w:vAlign w:val="top"/>
            <w:tcMar>
              <w:top w:w="90" w:type="dxa"/>
              <w:start w:w="90" w:type="dxa"/>
              <w:bottom w:w="90" w:type="dxa"/>
              <w:end w:w="90" w:type="dxa"/>
            </w:tcMar>
          </w:tcPr>
          <w:p>
            <w:r>
              <w:rPr>
                <w:sz w:val="18"/>
              </w:rPr>
              <w:t>Vendor mapping/configuration</w:t>
            </w:r>
          </w:p>
        </w:tc>
        <w:tc>
          <w:tcPr>
            <w:tcW w:type="dxa" w:w="2556"/>
            <w:vAlign w:val="top"/>
            <w:tcMar>
              <w:top w:w="90" w:type="dxa"/>
              <w:start w:w="90" w:type="dxa"/>
              <w:bottom w:w="90" w:type="dxa"/>
              <w:end w:w="90" w:type="dxa"/>
            </w:tcMar>
          </w:tcPr>
          <w:p>
            <w:r>
              <w:rPr>
                <w:sz w:val="18"/>
              </w:rPr>
              <w:t>Automated via authoritative SailPoint attribute</w:t>
            </w:r>
          </w:p>
        </w:tc>
        <w:tc>
          <w:tcPr>
            <w:tcW w:type="dxa" w:w="2556"/>
            <w:vAlign w:val="top"/>
            <w:tcMar>
              <w:top w:w="90" w:type="dxa"/>
              <w:start w:w="90" w:type="dxa"/>
              <w:bottom w:w="90" w:type="dxa"/>
              <w:end w:w="90" w:type="dxa"/>
            </w:tcMar>
          </w:tcPr>
          <w:p>
            <w:r>
              <w:rPr>
                <w:sz w:val="18"/>
              </w:rPr>
              <w:t>Validate before broad rollout.</w:t>
            </w:r>
          </w:p>
        </w:tc>
      </w:tr>
      <w:tr>
        <w:tc>
          <w:tcPr>
            <w:tcW w:type="dxa" w:w="2556"/>
            <w:vAlign w:val="top"/>
            <w:tcMar>
              <w:top w:w="90" w:type="dxa"/>
              <w:start w:w="90" w:type="dxa"/>
              <w:bottom w:w="90" w:type="dxa"/>
              <w:end w:w="90" w:type="dxa"/>
            </w:tcMar>
          </w:tcPr>
          <w:p>
            <w:r>
              <w:rPr>
                <w:sz w:val="18"/>
              </w:rPr>
              <w:t>Company/Department segmentation</w:t>
            </w:r>
          </w:p>
        </w:tc>
        <w:tc>
          <w:tcPr>
            <w:tcW w:type="dxa" w:w="2556"/>
            <w:vAlign w:val="top"/>
            <w:tcMar>
              <w:top w:w="90" w:type="dxa"/>
              <w:start w:w="90" w:type="dxa"/>
              <w:bottom w:w="90" w:type="dxa"/>
              <w:end w:w="90" w:type="dxa"/>
            </w:tcMar>
          </w:tcPr>
          <w:p>
            <w:r>
              <w:rPr>
                <w:sz w:val="18"/>
              </w:rPr>
              <w:t>Not yet confirmed as delivered</w:t>
            </w:r>
          </w:p>
        </w:tc>
        <w:tc>
          <w:tcPr>
            <w:tcW w:type="dxa" w:w="2556"/>
            <w:vAlign w:val="top"/>
            <w:tcMar>
              <w:top w:w="90" w:type="dxa"/>
              <w:start w:w="90" w:type="dxa"/>
              <w:bottom w:w="90" w:type="dxa"/>
              <w:end w:w="90" w:type="dxa"/>
            </w:tcMar>
          </w:tcPr>
          <w:p>
            <w:r>
              <w:rPr>
                <w:sz w:val="18"/>
              </w:rPr>
              <w:t>Automated attribute-based logic</w:t>
            </w:r>
          </w:p>
        </w:tc>
        <w:tc>
          <w:tcPr>
            <w:tcW w:type="dxa" w:w="2556"/>
            <w:vAlign w:val="top"/>
            <w:tcMar>
              <w:top w:w="90" w:type="dxa"/>
              <w:start w:w="90" w:type="dxa"/>
              <w:bottom w:w="90" w:type="dxa"/>
              <w:end w:w="90" w:type="dxa"/>
            </w:tcMar>
          </w:tcPr>
          <w:p>
            <w:r>
              <w:rPr>
                <w:sz w:val="18"/>
              </w:rPr>
              <w:t>Required for HTS/Magazines.</w:t>
            </w:r>
          </w:p>
        </w:tc>
      </w:tr>
      <w:tr>
        <w:tc>
          <w:tcPr>
            <w:tcW w:type="dxa" w:w="2556"/>
            <w:vAlign w:val="top"/>
            <w:tcMar>
              <w:top w:w="90" w:type="dxa"/>
              <w:start w:w="90" w:type="dxa"/>
              <w:bottom w:w="90" w:type="dxa"/>
              <w:end w:w="90" w:type="dxa"/>
            </w:tcMar>
          </w:tcPr>
          <w:p>
            <w:r>
              <w:rPr>
                <w:sz w:val="18"/>
              </w:rPr>
              <w:t>New AWS account segmentation</w:t>
            </w:r>
          </w:p>
        </w:tc>
        <w:tc>
          <w:tcPr>
            <w:tcW w:type="dxa" w:w="2556"/>
            <w:vAlign w:val="top"/>
            <w:tcMar>
              <w:top w:w="90" w:type="dxa"/>
              <w:start w:w="90" w:type="dxa"/>
              <w:bottom w:w="90" w:type="dxa"/>
              <w:end w:w="90" w:type="dxa"/>
            </w:tcMar>
          </w:tcPr>
          <w:p>
            <w:r>
              <w:rPr>
                <w:sz w:val="18"/>
              </w:rPr>
              <w:t>Manual concern identified</w:t>
            </w:r>
          </w:p>
        </w:tc>
        <w:tc>
          <w:tcPr>
            <w:tcW w:type="dxa" w:w="2556"/>
            <w:vAlign w:val="top"/>
            <w:tcMar>
              <w:top w:w="90" w:type="dxa"/>
              <w:start w:w="90" w:type="dxa"/>
              <w:bottom w:w="90" w:type="dxa"/>
              <w:end w:w="90" w:type="dxa"/>
            </w:tcMar>
          </w:tcPr>
          <w:p>
            <w:r>
              <w:rPr>
                <w:sz w:val="18"/>
              </w:rPr>
              <w:t>API/native automated assignment</w:t>
            </w:r>
          </w:p>
        </w:tc>
        <w:tc>
          <w:tcPr>
            <w:tcW w:type="dxa" w:w="2556"/>
            <w:vAlign w:val="top"/>
            <w:tcMar>
              <w:top w:w="90" w:type="dxa"/>
              <w:start w:w="90" w:type="dxa"/>
              <w:bottom w:w="90" w:type="dxa"/>
              <w:end w:w="90" w:type="dxa"/>
            </w:tcMar>
          </w:tcPr>
          <w:p>
            <w:r>
              <w:rPr>
                <w:sz w:val="18"/>
              </w:rPr>
              <w:t>Key day-2 requirement.</w:t>
            </w:r>
          </w:p>
        </w:tc>
      </w:tr>
      <w:tr>
        <w:tc>
          <w:tcPr>
            <w:tcW w:type="dxa" w:w="2556"/>
            <w:vAlign w:val="top"/>
            <w:tcMar>
              <w:top w:w="90" w:type="dxa"/>
              <w:start w:w="90" w:type="dxa"/>
              <w:bottom w:w="90" w:type="dxa"/>
              <w:end w:w="90" w:type="dxa"/>
            </w:tcMar>
          </w:tcPr>
          <w:p>
            <w:r>
              <w:rPr>
                <w:sz w:val="18"/>
              </w:rPr>
              <w:t>Exception handling</w:t>
            </w:r>
          </w:p>
        </w:tc>
        <w:tc>
          <w:tcPr>
            <w:tcW w:type="dxa" w:w="2556"/>
            <w:vAlign w:val="top"/>
            <w:tcMar>
              <w:top w:w="90" w:type="dxa"/>
              <w:start w:w="90" w:type="dxa"/>
              <w:bottom w:w="90" w:type="dxa"/>
              <w:end w:w="90" w:type="dxa"/>
            </w:tcMar>
          </w:tcPr>
          <w:p>
            <w:r>
              <w:rPr>
                <w:sz w:val="18"/>
              </w:rPr>
              <w:t>Not defined</w:t>
            </w:r>
          </w:p>
        </w:tc>
        <w:tc>
          <w:tcPr>
            <w:tcW w:type="dxa" w:w="2556"/>
            <w:vAlign w:val="top"/>
            <w:tcMar>
              <w:top w:w="90" w:type="dxa"/>
              <w:start w:w="90" w:type="dxa"/>
              <w:bottom w:w="90" w:type="dxa"/>
              <w:end w:w="90" w:type="dxa"/>
            </w:tcMar>
          </w:tcPr>
          <w:p>
            <w:r>
              <w:rPr>
                <w:sz w:val="18"/>
              </w:rPr>
              <w:t>Documented manual review/escalation</w:t>
            </w:r>
          </w:p>
        </w:tc>
        <w:tc>
          <w:tcPr>
            <w:tcW w:type="dxa" w:w="2556"/>
            <w:vAlign w:val="top"/>
            <w:tcMar>
              <w:top w:w="90" w:type="dxa"/>
              <w:start w:w="90" w:type="dxa"/>
              <w:bottom w:w="90" w:type="dxa"/>
              <w:end w:w="90" w:type="dxa"/>
            </w:tcMar>
          </w:tcPr>
          <w:p>
            <w:r>
              <w:rPr>
                <w:sz w:val="18"/>
              </w:rPr>
              <w:t>Owner and SLA TBD.</w:t>
            </w:r>
          </w:p>
        </w:tc>
      </w:tr>
    </w:tbl>
    <w:p/>
    <w:p>
      <w:pPr>
        <w:pStyle w:val="Heading1"/>
      </w:pPr>
      <w:r>
        <w:t>10. Open Items / Required Decisions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2F3"/>
            <w:vAlign w:val="center"/>
            <w:tcMar>
              <w:top w:w="90" w:type="dxa"/>
              <w:start w:w="90" w:type="dxa"/>
              <w:bottom w:w="90" w:type="dxa"/>
              <w:end w:w="90" w:type="dxa"/>
            </w:tcMar>
          </w:tcPr>
          <w:p>
            <w:r>
              <w:rPr>
                <w:b/>
                <w:sz w:val="18"/>
              </w:rPr>
              <w:t>ID</w:t>
            </w:r>
          </w:p>
        </w:tc>
        <w:tc>
          <w:tcPr>
            <w:tcW w:type="dxa" w:w="2556"/>
            <w:shd w:fill="D9E2F3"/>
            <w:vAlign w:val="center"/>
            <w:tcMar>
              <w:top w:w="90" w:type="dxa"/>
              <w:start w:w="90" w:type="dxa"/>
              <w:bottom w:w="90" w:type="dxa"/>
              <w:end w:w="90" w:type="dxa"/>
            </w:tcMar>
          </w:tcPr>
          <w:p>
            <w:r>
              <w:rPr>
                <w:b/>
                <w:sz w:val="18"/>
              </w:rPr>
              <w:t>Open item</w:t>
            </w:r>
          </w:p>
        </w:tc>
        <w:tc>
          <w:tcPr>
            <w:tcW w:type="dxa" w:w="2556"/>
            <w:shd w:fill="D9E2F3"/>
            <w:vAlign w:val="center"/>
            <w:tcMar>
              <w:top w:w="90" w:type="dxa"/>
              <w:start w:w="90" w:type="dxa"/>
              <w:bottom w:w="90" w:type="dxa"/>
              <w:end w:w="90" w:type="dxa"/>
            </w:tcMar>
          </w:tcPr>
          <w:p>
            <w:r>
              <w:rPr>
                <w:b/>
                <w:sz w:val="18"/>
              </w:rPr>
              <w:t>Owner</w:t>
            </w:r>
          </w:p>
        </w:tc>
        <w:tc>
          <w:tcPr>
            <w:tcW w:type="dxa" w:w="2556"/>
            <w:shd w:fill="D9E2F3"/>
            <w:vAlign w:val="center"/>
            <w:tcMar>
              <w:top w:w="90" w:type="dxa"/>
              <w:start w:w="90" w:type="dxa"/>
              <w:bottom w:w="90" w:type="dxa"/>
              <w:end w:w="90" w:type="dxa"/>
            </w:tcMar>
          </w:tcPr>
          <w:p>
            <w:r>
              <w:rPr>
                <w:b/>
                <w:sz w:val="18"/>
              </w:rPr>
              <w:t>Required output</w:t>
            </w:r>
          </w:p>
        </w:tc>
      </w:tr>
      <w:tr>
        <w:tc>
          <w:tcPr>
            <w:tcW w:type="dxa" w:w="2556"/>
            <w:vAlign w:val="top"/>
            <w:tcMar>
              <w:top w:w="90" w:type="dxa"/>
              <w:start w:w="90" w:type="dxa"/>
              <w:bottom w:w="90" w:type="dxa"/>
              <w:end w:w="90" w:type="dxa"/>
            </w:tcMar>
          </w:tcPr>
          <w:p>
            <w:r>
              <w:rPr>
                <w:sz w:val="18"/>
              </w:rPr>
              <w:t>SEG-01</w:t>
            </w:r>
          </w:p>
        </w:tc>
        <w:tc>
          <w:tcPr>
            <w:tcW w:type="dxa" w:w="2556"/>
            <w:vAlign w:val="top"/>
            <w:tcMar>
              <w:top w:w="90" w:type="dxa"/>
              <w:start w:w="90" w:type="dxa"/>
              <w:bottom w:w="90" w:type="dxa"/>
              <w:end w:w="90" w:type="dxa"/>
            </w:tcMar>
          </w:tcPr>
          <w:p>
            <w:r>
              <w:rPr>
                <w:sz w:val="18"/>
              </w:rPr>
              <w:t>Confirm Division mapping fix is complete.</w:t>
            </w:r>
          </w:p>
        </w:tc>
        <w:tc>
          <w:tcPr>
            <w:tcW w:type="dxa" w:w="2556"/>
            <w:vAlign w:val="top"/>
            <w:tcMar>
              <w:top w:w="90" w:type="dxa"/>
              <w:start w:w="90" w:type="dxa"/>
              <w:bottom w:w="90" w:type="dxa"/>
              <w:end w:w="90" w:type="dxa"/>
            </w:tcMar>
          </w:tcPr>
          <w:p>
            <w:r>
              <w:rPr>
                <w:sz w:val="18"/>
              </w:rPr>
              <w:t>Entro</w:t>
            </w:r>
          </w:p>
        </w:tc>
        <w:tc>
          <w:tcPr>
            <w:tcW w:type="dxa" w:w="2556"/>
            <w:vAlign w:val="top"/>
            <w:tcMar>
              <w:top w:w="90" w:type="dxa"/>
              <w:start w:w="90" w:type="dxa"/>
              <w:bottom w:w="90" w:type="dxa"/>
              <w:end w:w="90" w:type="dxa"/>
            </w:tcMar>
          </w:tcPr>
          <w:p>
            <w:r>
              <w:rPr>
                <w:sz w:val="18"/>
              </w:rPr>
              <w:t>Current status + evidence + date if incomplete.</w:t>
            </w:r>
          </w:p>
        </w:tc>
      </w:tr>
      <w:tr>
        <w:tc>
          <w:tcPr>
            <w:tcW w:type="dxa" w:w="2556"/>
            <w:vAlign w:val="top"/>
            <w:tcMar>
              <w:top w:w="90" w:type="dxa"/>
              <w:start w:w="90" w:type="dxa"/>
              <w:bottom w:w="90" w:type="dxa"/>
              <w:end w:w="90" w:type="dxa"/>
            </w:tcMar>
          </w:tcPr>
          <w:p>
            <w:r>
              <w:rPr>
                <w:sz w:val="18"/>
              </w:rPr>
              <w:t>SEG-02</w:t>
            </w:r>
          </w:p>
        </w:tc>
        <w:tc>
          <w:tcPr>
            <w:tcW w:type="dxa" w:w="2556"/>
            <w:vAlign w:val="top"/>
            <w:tcMar>
              <w:top w:w="90" w:type="dxa"/>
              <w:start w:w="90" w:type="dxa"/>
              <w:bottom w:w="90" w:type="dxa"/>
              <w:end w:w="90" w:type="dxa"/>
            </w:tcMar>
          </w:tcPr>
          <w:p>
            <w:r>
              <w:rPr>
                <w:sz w:val="18"/>
              </w:rPr>
              <w:t>Validate SailPoint Division Description → Entro Division with Television and Newspapers.</w:t>
            </w:r>
          </w:p>
        </w:tc>
        <w:tc>
          <w:tcPr>
            <w:tcW w:type="dxa" w:w="2556"/>
            <w:vAlign w:val="top"/>
            <w:tcMar>
              <w:top w:w="90" w:type="dxa"/>
              <w:start w:w="90" w:type="dxa"/>
              <w:bottom w:w="90" w:type="dxa"/>
              <w:end w:w="90" w:type="dxa"/>
            </w:tcMar>
          </w:tcPr>
          <w:p>
            <w:r>
              <w:rPr>
                <w:sz w:val="18"/>
              </w:rPr>
              <w:t>Internal + Entro</w:t>
            </w:r>
          </w:p>
        </w:tc>
        <w:tc>
          <w:tcPr>
            <w:tcW w:type="dxa" w:w="2556"/>
            <w:vAlign w:val="top"/>
            <w:tcMar>
              <w:top w:w="90" w:type="dxa"/>
              <w:start w:w="90" w:type="dxa"/>
              <w:bottom w:w="90" w:type="dxa"/>
              <w:end w:w="90" w:type="dxa"/>
            </w:tcMar>
          </w:tcPr>
          <w:p>
            <w:r>
              <w:rPr>
                <w:sz w:val="18"/>
              </w:rPr>
              <w:t>Test results/screenshots.</w:t>
            </w:r>
          </w:p>
        </w:tc>
      </w:tr>
      <w:tr>
        <w:tc>
          <w:tcPr>
            <w:tcW w:type="dxa" w:w="2556"/>
            <w:vAlign w:val="top"/>
            <w:tcMar>
              <w:top w:w="90" w:type="dxa"/>
              <w:start w:w="90" w:type="dxa"/>
              <w:bottom w:w="90" w:type="dxa"/>
              <w:end w:w="90" w:type="dxa"/>
            </w:tcMar>
          </w:tcPr>
          <w:p>
            <w:r>
              <w:rPr>
                <w:sz w:val="18"/>
              </w:rPr>
              <w:t>SEG-03</w:t>
            </w:r>
          </w:p>
        </w:tc>
        <w:tc>
          <w:tcPr>
            <w:tcW w:type="dxa" w:w="2556"/>
            <w:vAlign w:val="top"/>
            <w:tcMar>
              <w:top w:w="90" w:type="dxa"/>
              <w:start w:w="90" w:type="dxa"/>
              <w:bottom w:w="90" w:type="dxa"/>
              <w:end w:w="90" w:type="dxa"/>
            </w:tcMar>
          </w:tcPr>
          <w:p>
            <w:r>
              <w:rPr>
                <w:sz w:val="18"/>
              </w:rPr>
              <w:t>Confirm Company + Department segmentation enhancement delivery date.</w:t>
            </w:r>
          </w:p>
        </w:tc>
        <w:tc>
          <w:tcPr>
            <w:tcW w:type="dxa" w:w="2556"/>
            <w:vAlign w:val="top"/>
            <w:tcMar>
              <w:top w:w="90" w:type="dxa"/>
              <w:start w:w="90" w:type="dxa"/>
              <w:bottom w:w="90" w:type="dxa"/>
              <w:end w:w="90" w:type="dxa"/>
            </w:tcMar>
          </w:tcPr>
          <w:p>
            <w:r>
              <w:rPr>
                <w:sz w:val="18"/>
              </w:rPr>
              <w:t>Entro</w:t>
            </w:r>
          </w:p>
        </w:tc>
        <w:tc>
          <w:tcPr>
            <w:tcW w:type="dxa" w:w="2556"/>
            <w:vAlign w:val="top"/>
            <w:tcMar>
              <w:top w:w="90" w:type="dxa"/>
              <w:start w:w="90" w:type="dxa"/>
              <w:bottom w:w="90" w:type="dxa"/>
              <w:end w:w="90" w:type="dxa"/>
            </w:tcMar>
          </w:tcPr>
          <w:p>
            <w:r>
              <w:rPr>
                <w:sz w:val="18"/>
              </w:rPr>
              <w:t>Committed date + logic description.</w:t>
            </w:r>
          </w:p>
        </w:tc>
      </w:tr>
      <w:tr>
        <w:tc>
          <w:tcPr>
            <w:tcW w:type="dxa" w:w="2556"/>
            <w:vAlign w:val="top"/>
            <w:tcMar>
              <w:top w:w="90" w:type="dxa"/>
              <w:start w:w="90" w:type="dxa"/>
              <w:bottom w:w="90" w:type="dxa"/>
              <w:end w:w="90" w:type="dxa"/>
            </w:tcMar>
          </w:tcPr>
          <w:p>
            <w:r>
              <w:rPr>
                <w:sz w:val="18"/>
              </w:rPr>
              <w:t>SEG-04</w:t>
            </w:r>
          </w:p>
        </w:tc>
        <w:tc>
          <w:tcPr>
            <w:tcW w:type="dxa" w:w="2556"/>
            <w:vAlign w:val="top"/>
            <w:tcMar>
              <w:top w:w="90" w:type="dxa"/>
              <w:start w:w="90" w:type="dxa"/>
              <w:bottom w:w="90" w:type="dxa"/>
              <w:end w:w="90" w:type="dxa"/>
            </w:tcMar>
          </w:tcPr>
          <w:p>
            <w:r>
              <w:rPr>
                <w:sz w:val="18"/>
              </w:rPr>
              <w:t>Confirm final HTS identity segmentation logic.</w:t>
            </w:r>
          </w:p>
        </w:tc>
        <w:tc>
          <w:tcPr>
            <w:tcW w:type="dxa" w:w="2556"/>
            <w:vAlign w:val="top"/>
            <w:tcMar>
              <w:top w:w="90" w:type="dxa"/>
              <w:start w:w="90" w:type="dxa"/>
              <w:bottom w:w="90" w:type="dxa"/>
              <w:end w:w="90" w:type="dxa"/>
            </w:tcMar>
          </w:tcPr>
          <w:p>
            <w:r>
              <w:rPr>
                <w:sz w:val="18"/>
              </w:rPr>
              <w:t>Internal + Entro</w:t>
            </w:r>
          </w:p>
        </w:tc>
        <w:tc>
          <w:tcPr>
            <w:tcW w:type="dxa" w:w="2556"/>
            <w:vAlign w:val="top"/>
            <w:tcMar>
              <w:top w:w="90" w:type="dxa"/>
              <w:start w:w="90" w:type="dxa"/>
              <w:bottom w:w="90" w:type="dxa"/>
              <w:end w:w="90" w:type="dxa"/>
            </w:tcMar>
          </w:tcPr>
          <w:p>
            <w:r>
              <w:rPr>
                <w:sz w:val="18"/>
              </w:rPr>
              <w:t>Approved attribute logic and validation result.</w:t>
            </w:r>
          </w:p>
        </w:tc>
      </w:tr>
      <w:tr>
        <w:tc>
          <w:tcPr>
            <w:tcW w:type="dxa" w:w="2556"/>
            <w:vAlign w:val="top"/>
            <w:tcMar>
              <w:top w:w="90" w:type="dxa"/>
              <w:start w:w="90" w:type="dxa"/>
              <w:bottom w:w="90" w:type="dxa"/>
              <w:end w:w="90" w:type="dxa"/>
            </w:tcMar>
          </w:tcPr>
          <w:p>
            <w:r>
              <w:rPr>
                <w:sz w:val="18"/>
              </w:rPr>
              <w:t>SEG-05</w:t>
            </w:r>
          </w:p>
        </w:tc>
        <w:tc>
          <w:tcPr>
            <w:tcW w:type="dxa" w:w="2556"/>
            <w:vAlign w:val="top"/>
            <w:tcMar>
              <w:top w:w="90" w:type="dxa"/>
              <w:start w:w="90" w:type="dxa"/>
              <w:bottom w:w="90" w:type="dxa"/>
              <w:end w:w="90" w:type="dxa"/>
            </w:tcMar>
          </w:tcPr>
          <w:p>
            <w:r>
              <w:rPr>
                <w:sz w:val="18"/>
              </w:rPr>
              <w:t>Confirm supported method/API for automated account-to-segment assignment.</w:t>
            </w:r>
          </w:p>
        </w:tc>
        <w:tc>
          <w:tcPr>
            <w:tcW w:type="dxa" w:w="2556"/>
            <w:vAlign w:val="top"/>
            <w:tcMar>
              <w:top w:w="90" w:type="dxa"/>
              <w:start w:w="90" w:type="dxa"/>
              <w:bottom w:w="90" w:type="dxa"/>
              <w:end w:w="90" w:type="dxa"/>
            </w:tcMar>
          </w:tcPr>
          <w:p>
            <w:r>
              <w:rPr>
                <w:sz w:val="18"/>
              </w:rPr>
              <w:t>Entro</w:t>
            </w:r>
          </w:p>
        </w:tc>
        <w:tc>
          <w:tcPr>
            <w:tcW w:type="dxa" w:w="2556"/>
            <w:vAlign w:val="top"/>
            <w:tcMar>
              <w:top w:w="90" w:type="dxa"/>
              <w:start w:w="90" w:type="dxa"/>
              <w:bottom w:w="90" w:type="dxa"/>
              <w:end w:w="90" w:type="dxa"/>
            </w:tcMar>
          </w:tcPr>
          <w:p>
            <w:r>
              <w:rPr>
                <w:sz w:val="18"/>
              </w:rPr>
              <w:t>API/native capability, owner, delivery date.</w:t>
            </w:r>
          </w:p>
        </w:tc>
      </w:tr>
      <w:tr>
        <w:tc>
          <w:tcPr>
            <w:tcW w:type="dxa" w:w="2556"/>
            <w:vAlign w:val="top"/>
            <w:tcMar>
              <w:top w:w="90" w:type="dxa"/>
              <w:start w:w="90" w:type="dxa"/>
              <w:bottom w:w="90" w:type="dxa"/>
              <w:end w:w="90" w:type="dxa"/>
            </w:tcMar>
          </w:tcPr>
          <w:p>
            <w:r>
              <w:rPr>
                <w:sz w:val="18"/>
              </w:rPr>
              <w:t>SEG-06</w:t>
            </w:r>
          </w:p>
        </w:tc>
        <w:tc>
          <w:tcPr>
            <w:tcW w:type="dxa" w:w="2556"/>
            <w:vAlign w:val="top"/>
            <w:tcMar>
              <w:top w:w="90" w:type="dxa"/>
              <w:start w:w="90" w:type="dxa"/>
              <w:bottom w:w="90" w:type="dxa"/>
              <w:end w:w="90" w:type="dxa"/>
            </w:tcMar>
          </w:tcPr>
          <w:p>
            <w:r>
              <w:rPr>
                <w:sz w:val="18"/>
              </w:rPr>
              <w:t>Define owner for AWS day-2 automation and exception handling.</w:t>
            </w:r>
          </w:p>
        </w:tc>
        <w:tc>
          <w:tcPr>
            <w:tcW w:type="dxa" w:w="2556"/>
            <w:vAlign w:val="top"/>
            <w:tcMar>
              <w:top w:w="90" w:type="dxa"/>
              <w:start w:w="90" w:type="dxa"/>
              <w:bottom w:w="90" w:type="dxa"/>
              <w:end w:w="90" w:type="dxa"/>
            </w:tcMar>
          </w:tcPr>
          <w:p>
            <w:r>
              <w:rPr>
                <w:sz w:val="18"/>
              </w:rPr>
              <w:t>Internal / Cloud / Entro as applicable</w:t>
            </w:r>
          </w:p>
        </w:tc>
        <w:tc>
          <w:tcPr>
            <w:tcW w:type="dxa" w:w="2556"/>
            <w:vAlign w:val="top"/>
            <w:tcMar>
              <w:top w:w="90" w:type="dxa"/>
              <w:start w:w="90" w:type="dxa"/>
              <w:bottom w:w="90" w:type="dxa"/>
              <w:end w:w="90" w:type="dxa"/>
            </w:tcMar>
          </w:tcPr>
          <w:p>
            <w:r>
              <w:rPr>
                <w:sz w:val="18"/>
              </w:rPr>
              <w:t>Named owner + operational procedure.</w:t>
            </w:r>
          </w:p>
        </w:tc>
      </w:tr>
      <w:tr>
        <w:tc>
          <w:tcPr>
            <w:tcW w:type="dxa" w:w="2556"/>
            <w:vAlign w:val="top"/>
            <w:tcMar>
              <w:top w:w="90" w:type="dxa"/>
              <w:start w:w="90" w:type="dxa"/>
              <w:bottom w:w="90" w:type="dxa"/>
              <w:end w:w="90" w:type="dxa"/>
            </w:tcMar>
          </w:tcPr>
          <w:p>
            <w:r>
              <w:rPr>
                <w:sz w:val="18"/>
              </w:rPr>
              <w:t>SEG-07</w:t>
            </w:r>
          </w:p>
        </w:tc>
        <w:tc>
          <w:tcPr>
            <w:tcW w:type="dxa" w:w="2556"/>
            <w:vAlign w:val="top"/>
            <w:tcMar>
              <w:top w:w="90" w:type="dxa"/>
              <w:start w:w="90" w:type="dxa"/>
              <w:bottom w:w="90" w:type="dxa"/>
              <w:end w:w="90" w:type="dxa"/>
            </w:tcMar>
          </w:tcPr>
          <w:p>
            <w:r>
              <w:rPr>
                <w:sz w:val="18"/>
              </w:rPr>
              <w:t>Capture missing Entro screenshots for this guide.</w:t>
            </w:r>
          </w:p>
        </w:tc>
        <w:tc>
          <w:tcPr>
            <w:tcW w:type="dxa" w:w="2556"/>
            <w:vAlign w:val="top"/>
            <w:tcMar>
              <w:top w:w="90" w:type="dxa"/>
              <w:start w:w="90" w:type="dxa"/>
              <w:bottom w:w="90" w:type="dxa"/>
              <w:end w:w="90" w:type="dxa"/>
            </w:tcMar>
          </w:tcPr>
          <w:p>
            <w:r>
              <w:rPr>
                <w:sz w:val="18"/>
              </w:rPr>
              <w:t>Document owner</w:t>
            </w:r>
          </w:p>
        </w:tc>
        <w:tc>
          <w:tcPr>
            <w:tcW w:type="dxa" w:w="2556"/>
            <w:vAlign w:val="top"/>
            <w:tcMar>
              <w:top w:w="90" w:type="dxa"/>
              <w:start w:w="90" w:type="dxa"/>
              <w:bottom w:w="90" w:type="dxa"/>
              <w:end w:w="90" w:type="dxa"/>
            </w:tcMar>
          </w:tcPr>
          <w:p>
            <w:r>
              <w:rPr>
                <w:sz w:val="18"/>
              </w:rPr>
              <w:t>Screenshots inserted with captions and test date.</w:t>
            </w:r>
          </w:p>
        </w:tc>
      </w:tr>
    </w:tbl>
    <w:p/>
    <w:p>
      <w:pPr>
        <w:pStyle w:val="Heading1"/>
      </w:pPr>
      <w:r>
        <w:t>11. Screenshot / Evidence Capture Checklist</w:t>
      </w:r>
    </w:p>
    <w:p>
      <w:pPr>
        <w:pStyle w:val="ListBullet"/>
      </w:pPr>
      <w:r>
        <w:t>Entro Accounts &amp; Integrations page filtered to HTS-related accounts/connectors.</w:t>
      </w:r>
    </w:p>
    <w:p>
      <w:pPr>
        <w:pStyle w:val="ListBullet"/>
      </w:pPr>
      <w:r>
        <w:t>Selected resources immediately before Bulk Action.</w:t>
      </w:r>
    </w:p>
    <w:p>
      <w:pPr>
        <w:pStyle w:val="ListBullet"/>
      </w:pPr>
      <w:r>
        <w:t>Bulk Action → Segments selection showing HTS.</w:t>
      </w:r>
    </w:p>
    <w:p>
      <w:pPr>
        <w:pStyle w:val="ListBullet"/>
      </w:pPr>
      <w:r>
        <w:t>HTS segment details showing relevant connector/account association.</w:t>
      </w:r>
    </w:p>
    <w:p>
      <w:pPr>
        <w:pStyle w:val="ListBullet"/>
      </w:pPr>
      <w:r>
        <w:t>SailPoint HTS role / relevant role evidence (only if appropriate for internal documentation).</w:t>
      </w:r>
    </w:p>
    <w:p>
      <w:pPr>
        <w:pStyle w:val="ListBullet"/>
      </w:pPr>
      <w:r>
        <w:t>Non-admin HTS Entro view showing restricted account/findings visibility.</w:t>
      </w:r>
    </w:p>
    <w:p>
      <w:pPr>
        <w:pStyle w:val="ListBullet"/>
      </w:pPr>
      <w:r>
        <w:t>Division mapping configuration showing SailPoint Division Description → Entro Division.</w:t>
      </w:r>
    </w:p>
    <w:p>
      <w:pPr>
        <w:pStyle w:val="ListBullet"/>
      </w:pPr>
      <w:r>
        <w:t>Television validation result.</w:t>
      </w:r>
    </w:p>
    <w:p>
      <w:pPr>
        <w:pStyle w:val="ListBullet"/>
      </w:pPr>
      <w:r>
        <w:t>Newspapers validation result.</w:t>
      </w:r>
    </w:p>
    <w:p>
      <w:pPr>
        <w:pStyle w:val="ListBullet"/>
      </w:pPr>
      <w:r>
        <w:t>Company/Department logic once delivered.</w:t>
      </w:r>
    </w:p>
    <w:p>
      <w:pPr>
        <w:pStyle w:val="ListBullet"/>
      </w:pPr>
      <w:r>
        <w:t>AWS day-2 automation/API evidence once implemented.</w:t>
      </w:r>
    </w:p>
    <w:p>
      <w:pPr>
        <w:pStyle w:val="Heading1"/>
      </w:pPr>
      <w:r>
        <w:t>12. Working Glossary</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Mar>
              <w:top w:w="90" w:type="dxa"/>
              <w:start w:w="90" w:type="dxa"/>
              <w:bottom w:w="90" w:type="dxa"/>
              <w:end w:w="90" w:type="dxa"/>
            </w:tcMar>
          </w:tcPr>
          <w:p>
            <w:r>
              <w:rPr>
                <w:b/>
                <w:sz w:val="18"/>
              </w:rPr>
              <w:t>Term</w:t>
            </w:r>
          </w:p>
        </w:tc>
        <w:tc>
          <w:tcPr>
            <w:tcW w:type="dxa" w:w="5112"/>
            <w:shd w:fill="D9E2F3"/>
            <w:vAlign w:val="center"/>
            <w:tcMar>
              <w:top w:w="90" w:type="dxa"/>
              <w:start w:w="90" w:type="dxa"/>
              <w:bottom w:w="90" w:type="dxa"/>
              <w:end w:w="90" w:type="dxa"/>
            </w:tcMar>
          </w:tcPr>
          <w:p>
            <w:r>
              <w:rPr>
                <w:b/>
                <w:sz w:val="18"/>
              </w:rPr>
              <w:t>Working definition for this document</w:t>
            </w:r>
          </w:p>
        </w:tc>
      </w:tr>
      <w:tr>
        <w:tc>
          <w:tcPr>
            <w:tcW w:type="dxa" w:w="5112"/>
            <w:vAlign w:val="top"/>
            <w:tcMar>
              <w:top w:w="90" w:type="dxa"/>
              <w:start w:w="90" w:type="dxa"/>
              <w:bottom w:w="90" w:type="dxa"/>
              <w:end w:w="90" w:type="dxa"/>
            </w:tcMar>
          </w:tcPr>
          <w:p>
            <w:r>
              <w:rPr>
                <w:sz w:val="18"/>
              </w:rPr>
              <w:t>Segment</w:t>
            </w:r>
          </w:p>
        </w:tc>
        <w:tc>
          <w:tcPr>
            <w:tcW w:type="dxa" w:w="5112"/>
            <w:vAlign w:val="top"/>
            <w:tcMar>
              <w:top w:w="90" w:type="dxa"/>
              <w:start w:w="90" w:type="dxa"/>
              <w:bottom w:w="90" w:type="dxa"/>
              <w:end w:w="90" w:type="dxa"/>
            </w:tcMar>
          </w:tcPr>
          <w:p>
            <w:r>
              <w:rPr>
                <w:sz w:val="18"/>
              </w:rPr>
              <w:t>Logical Entro scope used to limit visibility/access to resources/findings for a defined business population.</w:t>
            </w:r>
          </w:p>
        </w:tc>
      </w:tr>
      <w:tr>
        <w:tc>
          <w:tcPr>
            <w:tcW w:type="dxa" w:w="5112"/>
            <w:vAlign w:val="top"/>
            <w:tcMar>
              <w:top w:w="90" w:type="dxa"/>
              <w:start w:w="90" w:type="dxa"/>
              <w:bottom w:w="90" w:type="dxa"/>
              <w:end w:w="90" w:type="dxa"/>
            </w:tcMar>
          </w:tcPr>
          <w:p>
            <w:r>
              <w:rPr>
                <w:sz w:val="18"/>
              </w:rPr>
              <w:t>Connector-based segmentation</w:t>
            </w:r>
          </w:p>
        </w:tc>
        <w:tc>
          <w:tcPr>
            <w:tcW w:type="dxa" w:w="5112"/>
            <w:vAlign w:val="top"/>
            <w:tcMar>
              <w:top w:w="90" w:type="dxa"/>
              <w:start w:w="90" w:type="dxa"/>
              <w:bottom w:w="90" w:type="dxa"/>
              <w:end w:w="90" w:type="dxa"/>
            </w:tcMar>
          </w:tcPr>
          <w:p>
            <w:r>
              <w:rPr>
                <w:sz w:val="18"/>
              </w:rPr>
              <w:t>Segmentation based on an integration/connector/account association with a segment.</w:t>
            </w:r>
          </w:p>
        </w:tc>
      </w:tr>
      <w:tr>
        <w:tc>
          <w:tcPr>
            <w:tcW w:type="dxa" w:w="5112"/>
            <w:vAlign w:val="top"/>
            <w:tcMar>
              <w:top w:w="90" w:type="dxa"/>
              <w:start w:w="90" w:type="dxa"/>
              <w:bottom w:w="90" w:type="dxa"/>
              <w:end w:w="90" w:type="dxa"/>
            </w:tcMar>
          </w:tcPr>
          <w:p>
            <w:r>
              <w:rPr>
                <w:sz w:val="18"/>
              </w:rPr>
              <w:t>Identity/attribute-based segmentation</w:t>
            </w:r>
          </w:p>
        </w:tc>
        <w:tc>
          <w:tcPr>
            <w:tcW w:type="dxa" w:w="5112"/>
            <w:vAlign w:val="top"/>
            <w:tcMar>
              <w:top w:w="90" w:type="dxa"/>
              <w:start w:w="90" w:type="dxa"/>
              <w:bottom w:w="90" w:type="dxa"/>
              <w:end w:w="90" w:type="dxa"/>
            </w:tcMar>
          </w:tcPr>
          <w:p>
            <w:r>
              <w:rPr>
                <w:sz w:val="18"/>
              </w:rPr>
              <w:t>Segmentation derived from identity attributes such as Division, Company, and Department.</w:t>
            </w:r>
          </w:p>
        </w:tc>
      </w:tr>
      <w:tr>
        <w:tc>
          <w:tcPr>
            <w:tcW w:type="dxa" w:w="5112"/>
            <w:vAlign w:val="top"/>
            <w:tcMar>
              <w:top w:w="90" w:type="dxa"/>
              <w:start w:w="90" w:type="dxa"/>
              <w:bottom w:w="90" w:type="dxa"/>
              <w:end w:w="90" w:type="dxa"/>
            </w:tcMar>
          </w:tcPr>
          <w:p>
            <w:r>
              <w:rPr>
                <w:sz w:val="18"/>
              </w:rPr>
              <w:t>Division</w:t>
            </w:r>
          </w:p>
        </w:tc>
        <w:tc>
          <w:tcPr>
            <w:tcW w:type="dxa" w:w="5112"/>
            <w:vAlign w:val="top"/>
            <w:tcMar>
              <w:top w:w="90" w:type="dxa"/>
              <w:start w:w="90" w:type="dxa"/>
              <w:bottom w:w="90" w:type="dxa"/>
              <w:end w:w="90" w:type="dxa"/>
            </w:tcMar>
          </w:tcPr>
          <w:p>
            <w:r>
              <w:rPr>
                <w:sz w:val="18"/>
              </w:rPr>
              <w:t>First-priority organizational attribute for identity segmentation.</w:t>
            </w:r>
          </w:p>
        </w:tc>
      </w:tr>
      <w:tr>
        <w:tc>
          <w:tcPr>
            <w:tcW w:type="dxa" w:w="5112"/>
            <w:vAlign w:val="top"/>
            <w:tcMar>
              <w:top w:w="90" w:type="dxa"/>
              <w:start w:w="90" w:type="dxa"/>
              <w:bottom w:w="90" w:type="dxa"/>
              <w:end w:w="90" w:type="dxa"/>
            </w:tcMar>
          </w:tcPr>
          <w:p>
            <w:r>
              <w:rPr>
                <w:sz w:val="18"/>
              </w:rPr>
              <w:t>Company</w:t>
            </w:r>
          </w:p>
        </w:tc>
        <w:tc>
          <w:tcPr>
            <w:tcW w:type="dxa" w:w="5112"/>
            <w:vAlign w:val="top"/>
            <w:tcMar>
              <w:top w:w="90" w:type="dxa"/>
              <w:start w:w="90" w:type="dxa"/>
              <w:bottom w:w="90" w:type="dxa"/>
              <w:end w:w="90" w:type="dxa"/>
            </w:tcMar>
          </w:tcPr>
          <w:p>
            <w:r>
              <w:rPr>
                <w:sz w:val="18"/>
              </w:rPr>
              <w:t>Additional organizational attribute used where Division is too broad.</w:t>
            </w:r>
          </w:p>
        </w:tc>
      </w:tr>
      <w:tr>
        <w:tc>
          <w:tcPr>
            <w:tcW w:type="dxa" w:w="5112"/>
            <w:vAlign w:val="top"/>
            <w:tcMar>
              <w:top w:w="90" w:type="dxa"/>
              <w:start w:w="90" w:type="dxa"/>
              <w:bottom w:w="90" w:type="dxa"/>
              <w:end w:w="90" w:type="dxa"/>
            </w:tcMar>
          </w:tcPr>
          <w:p>
            <w:r>
              <w:rPr>
                <w:sz w:val="18"/>
              </w:rPr>
              <w:t>Department</w:t>
            </w:r>
          </w:p>
        </w:tc>
        <w:tc>
          <w:tcPr>
            <w:tcW w:type="dxa" w:w="5112"/>
            <w:vAlign w:val="top"/>
            <w:tcMar>
              <w:top w:w="90" w:type="dxa"/>
              <w:start w:w="90" w:type="dxa"/>
              <w:bottom w:w="90" w:type="dxa"/>
              <w:end w:w="90" w:type="dxa"/>
            </w:tcMar>
          </w:tcPr>
          <w:p>
            <w:r>
              <w:rPr>
                <w:sz w:val="18"/>
              </w:rPr>
              <w:t>Additional organizational attribute used for finer-grained business/brand separation.</w:t>
            </w:r>
          </w:p>
        </w:tc>
      </w:tr>
      <w:tr>
        <w:tc>
          <w:tcPr>
            <w:tcW w:type="dxa" w:w="5112"/>
            <w:vAlign w:val="top"/>
            <w:tcMar>
              <w:top w:w="90" w:type="dxa"/>
              <w:start w:w="90" w:type="dxa"/>
              <w:bottom w:w="90" w:type="dxa"/>
              <w:end w:w="90" w:type="dxa"/>
            </w:tcMar>
          </w:tcPr>
          <w:p>
            <w:r>
              <w:rPr>
                <w:sz w:val="18"/>
              </w:rPr>
              <w:t>HTS</w:t>
            </w:r>
          </w:p>
        </w:tc>
        <w:tc>
          <w:tcPr>
            <w:tcW w:type="dxa" w:w="5112"/>
            <w:vAlign w:val="top"/>
            <w:tcMar>
              <w:top w:w="90" w:type="dxa"/>
              <w:start w:w="90" w:type="dxa"/>
              <w:bottom w:w="90" w:type="dxa"/>
              <w:end w:w="90" w:type="dxa"/>
            </w:tcMar>
          </w:tcPr>
          <w:p>
            <w:r>
              <w:rPr>
                <w:sz w:val="18"/>
              </w:rPr>
              <w:t>Pilot business scope discussed in the project sessions; part of Corporate rather than a standalone Division.</w:t>
            </w:r>
          </w:p>
        </w:tc>
      </w:tr>
      <w:tr>
        <w:tc>
          <w:tcPr>
            <w:tcW w:type="dxa" w:w="5112"/>
            <w:vAlign w:val="top"/>
            <w:tcMar>
              <w:top w:w="90" w:type="dxa"/>
              <w:start w:w="90" w:type="dxa"/>
              <w:bottom w:w="90" w:type="dxa"/>
              <w:end w:w="90" w:type="dxa"/>
            </w:tcMar>
          </w:tcPr>
          <w:p>
            <w:r>
              <w:rPr>
                <w:sz w:val="18"/>
              </w:rPr>
              <w:t>Day-2 operations</w:t>
            </w:r>
          </w:p>
        </w:tc>
        <w:tc>
          <w:tcPr>
            <w:tcW w:type="dxa" w:w="5112"/>
            <w:vAlign w:val="top"/>
            <w:tcMar>
              <w:top w:w="90" w:type="dxa"/>
              <w:start w:w="90" w:type="dxa"/>
              <w:bottom w:w="90" w:type="dxa"/>
              <w:end w:w="90" w:type="dxa"/>
            </w:tcMar>
          </w:tcPr>
          <w:p>
            <w:r>
              <w:rPr>
                <w:sz w:val="18"/>
              </w:rPr>
              <w:t>Ongoing handling after initial onboarding, such as automatically segmenting newly created AWS accounts.</w:t>
            </w:r>
          </w:p>
        </w:tc>
      </w:tr>
    </w:tbl>
    <w:p/>
    <w:p>
      <w:pPr>
        <w:pStyle w:val="Heading1"/>
      </w:pPr>
      <w:r>
        <w:t>Known Limitations</w:t>
      </w:r>
    </w:p>
    <w:p>
      <w:r>
        <w:t>Terminology has been normalized only where the intended term is unambiguous (for example, Entro and SailPoint); items without a clear source are marked TBD.</w:t>
      </w:r>
    </w:p>
    <w:p>
      <w:r>
        <w:t>Configuration screenshots have not yet been captured and are marked as placeholders throughout Part A. The identity-mapping click path (Sections 4-5) reflects confirmed system behavior only; steps not yet verified against the current Entro tenant are flagged rather than assumed.</w:t>
      </w:r>
    </w:p>
    <w:p>
      <w:r>
        <w:rPr>
          <w:b/>
        </w:rPr>
        <w:t xml:space="preserve">Publication gate: </w:t>
      </w:r>
      <w:r>
        <w:t>Before marking this document final, replace all screenshot placeholders, close or formally disposition SEG-01 through SEG-07, and have the technical owner verify the documented UI steps against the current Entro tenant.</w:t>
      </w:r>
    </w:p>
    <w:sectPr w:rsidR="00FC693F" w:rsidRPr="0006063C" w:rsidSect="00034616">
      <w:headerReference w:type="default" r:id="rId9"/>
      <w:footerReference w:type="default" r:id="rId10"/>
      <w:pgSz w:w="12240" w:h="15840"/>
      <w:pgMar w:top="792" w:right="1008" w:bottom="792" w:left="1008" w:header="720" w:footer="720" w:gutter="0"/>
      <w:cols w:space="720"/>
      <w:docGrid w:linePitch="360"/>
    </w:sectPr>
    <w:p>
      <w:r>
        <w:br w:type="page"/>
      </w:r>
    </w:p>
    <w:p>
      <w:pPr>
        <w:pStyle w:val="Heading1"/>
      </w:pPr>
      <w:r/>
      <w:r>
        <w:rPr>
          <w:b/>
        </w:rPr>
        <w:t>Part B — Gold Mine Remediation</w:t>
      </w:r>
    </w:p>
    <w:p>
      <w:pPr>
        <w:pStyle w:val="Heading2"/>
        <w:spacing w:after="100" w:before="200"/>
      </w:pPr>
      <w:r>
        <w:t xml:space="preserve">What it is</w:t>
      </w:r>
    </w:p>
    <w:p>
      <w:pPr>
        <w:spacing w:after="120"/>
      </w:pPr>
      <w:r>
        <w:t xml:space="preserve">Entro continuously scans SharePoint and flags “gold mine” risk — locations where a large volume of exposed secrets/credentials are concentrated. Findings are scored, with Critical findings prioritized first. As of the last working session, five findings were confirmed, with named owners including Tony, Joe Leto, Lisa, Peter Murphy, and John Ford; the count has since been observed to fluctuate (as high as six).</w:t>
      </w:r>
    </w:p>
    <w:p>
      <w:pPr>
        <w:pStyle w:val="Heading2"/>
        <w:spacing w:after="100" w:before="200"/>
      </w:pPr>
      <w:r>
        <w:t xml:space="preserve">Why this design</w:t>
      </w:r>
    </w:p>
    <w:p>
      <w:pPr>
        <w:spacing w:after="120"/>
      </w:pPr>
      <w:r>
        <w:t>Gold mine is classified as a technical/security use case, not an architectural one — it depends on the foundational segmentation use case being in place so that a finding routes to the correct business unit and owner. Without segmentation, gold mine alerts cannot be reliably attributed to the right team. A manual-first approach was proposed for the pilot (rather than waiting for full automation) given the small number of current findings, with automation to be layered in after the manual process is validated.</w:t>
      </w:r>
    </w:p>
    <w:p>
      <w:pPr>
        <w:pStyle w:val="Heading2"/>
        <w:spacing w:after="100" w:before="200"/>
      </w:pPr>
      <w:r>
        <w:t xml:space="preserve">Process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2500"/>
      </w:tblGrid>
      <w:tr>
        <w:trPr>
          <w:tblHeader/>
        </w:trPr>
        <w:tc>
          <w:tcPr>
            <w:tcW w:type="dxa" w:w="1600"/>
            <w:shd w:fill="1F4E79" w:val="clear"/>
          </w:tcPr>
          <w:p>
            <w:r>
              <w:rPr>
                <w:b/>
                <w:bCs/>
                <w:color w:val="FFFFFF"/>
              </w:rPr>
              <w:t xml:space="preserve">Stage</w:t>
            </w:r>
          </w:p>
        </w:tc>
        <w:tc>
          <w:tcPr>
            <w:tcW w:type="dxa" w:w="5200"/>
            <w:shd w:fill="1F4E79" w:val="clear"/>
          </w:tcPr>
          <w:p>
            <w:r>
              <w:rPr>
                <w:b/>
                <w:bCs/>
                <w:color w:val="FFFFFF"/>
              </w:rPr>
              <w:t xml:space="preserve">Description</w:t>
            </w:r>
          </w:p>
        </w:tc>
        <w:tc>
          <w:tcPr>
            <w:tcW w:type="dxa" w:w="2500"/>
            <w:shd w:fill="1F4E79" w:val="clear"/>
          </w:tcPr>
          <w:p>
            <w:r>
              <w:rPr>
                <w:b/>
                <w:bCs/>
                <w:color w:val="FFFFFF"/>
              </w:rPr>
              <w:t xml:space="preserve">Status</w:t>
            </w:r>
          </w:p>
        </w:tc>
      </w:tr>
      <w:tr>
        <w:tc>
          <w:tcPr>
            <w:tcW w:type="dxa" w:w="1600"/>
          </w:tcPr>
          <w:p>
            <w:r>
              <w:rPr>
                <w:i w:val="false"/>
                <w:iCs w:val="false"/>
                <w:color w:val="000000"/>
              </w:rPr>
              <w:t xml:space="preserve">Detection</w:t>
            </w:r>
          </w:p>
        </w:tc>
        <w:tc>
          <w:tcPr>
            <w:tcW w:type="dxa" w:w="5200"/>
          </w:tcPr>
          <w:p>
            <w:r>
              <w:rPr>
                <w:i w:val="false"/>
                <w:iCs w:val="false"/>
                <w:color w:val="000000"/>
              </w:rPr>
              <w:t xml:space="preserve">Entro continuously scans SharePoint for gold mine risk. Findings are scored and categorized (e.g., best practice tiers); remediation should start with Critical findings.</w:t>
            </w:r>
          </w:p>
        </w:tc>
        <w:tc>
          <w:tcPr>
            <w:tcW w:type="dxa" w:w="2500"/>
          </w:tcPr>
          <w:p>
            <w:r>
              <w:rPr>
                <w:i w:val="false"/>
                <w:iCs w:val="false"/>
                <w:color w:val="000000"/>
              </w:rPr>
              <w:t xml:space="preserve">Confirmed — native Entro capability</w:t>
            </w:r>
          </w:p>
        </w:tc>
      </w:tr>
      <w:tr>
        <w:tc>
          <w:tcPr>
            <w:tcW w:type="dxa" w:w="1600"/>
          </w:tcPr>
          <w:p>
            <w:r>
              <w:rPr>
                <w:i w:val="false"/>
                <w:iCs w:val="false"/>
                <w:color w:val="000000"/>
              </w:rPr>
              <w:t xml:space="preserve">Current count</w:t>
            </w:r>
          </w:p>
        </w:tc>
        <w:tc>
          <w:tcPr>
            <w:tcW w:type="dxa" w:w="5200"/>
          </w:tcPr>
          <w:p>
            <w:r>
              <w:rPr>
                <w:i w:val="false"/>
                <w:iCs w:val="false"/>
                <w:color w:val="000000"/>
              </w:rPr>
              <w:t xml:space="preserve">Five gold mines identified at time of last review; count has fluctuated (observed as high as six). Named findings included owners Tony, Joe Leto, Lisa, Peter Murphy, and John Ford.</w:t>
            </w:r>
          </w:p>
        </w:tc>
        <w:tc>
          <w:tcPr>
            <w:tcW w:type="dxa" w:w="2500"/>
          </w:tcPr>
          <w:p>
            <w:r>
              <w:rPr>
                <w:i w:val="false"/>
                <w:iCs w:val="false"/>
                <w:color w:val="000000"/>
              </w:rPr>
              <w:t xml:space="preserve">Confirmed, count may need re-verification</w:t>
            </w:r>
          </w:p>
        </w:tc>
      </w:tr>
      <w:tr>
        <w:tc>
          <w:tcPr>
            <w:tcW w:type="dxa" w:w="1600"/>
          </w:tcPr>
          <w:p>
            <w:r>
              <w:rPr>
                <w:i w:val="false"/>
                <w:iCs w:val="false"/>
                <w:color w:val="000000"/>
              </w:rPr>
              <w:t xml:space="preserve">Remediation guidance</w:t>
            </w:r>
          </w:p>
        </w:tc>
        <w:tc>
          <w:tcPr>
            <w:tcW w:type="dxa" w:w="5200"/>
          </w:tcPr>
          <w:p>
            <w:r>
              <w:rPr>
                <w:i w:val="false"/>
                <w:iCs w:val="false"/>
                <w:color w:val="000000"/>
              </w:rPr>
              <w:t xml:space="preserve">Entro provided a Remediation Strategy document (native, automated, and manual paths). Native: Campaigns feature groups high-risk identities and tracks remediation to completion. Automated: SOAR integration (Tines, Torq, Workato, BlinkOps, etc.) or Entro webhook/REST API into existing SIEM/SOC tooling. Manual: assign to owner via Slack/Teams/JIRA/Email, or export to CSV and send to feature owner.</w:t>
            </w:r>
          </w:p>
        </w:tc>
        <w:tc>
          <w:tcPr>
            <w:tcW w:type="dxa" w:w="2500"/>
          </w:tcPr>
          <w:p>
            <w:r>
              <w:rPr>
                <w:i/>
                <w:iCs/>
                <w:color w:val="B00000"/>
              </w:rPr>
              <w:t xml:space="preserve">Received — general guidance, not yet mapped to our specific 5–6 findings</w:t>
            </w:r>
          </w:p>
        </w:tc>
      </w:tr>
      <w:tr>
        <w:tc>
          <w:tcPr>
            <w:tcW w:type="dxa" w:w="1600"/>
          </w:tcPr>
          <w:p>
            <w:r>
              <w:rPr>
                <w:i w:val="false"/>
                <w:iCs w:val="false"/>
                <w:color w:val="000000"/>
              </w:rPr>
              <w:t xml:space="preserve">Pilot scope</w:t>
            </w:r>
          </w:p>
        </w:tc>
        <w:tc>
          <w:tcPr>
            <w:tcW w:type="dxa" w:w="5200"/>
          </w:tcPr>
          <w:p>
            <w:r>
              <w:rPr>
                <w:i w:val="false"/>
                <w:iCs w:val="false"/>
                <w:color w:val="000000"/>
              </w:rPr>
              <w:t xml:space="preserve">Decision needed on how many gold mines to pilot manually before scaling — one, a subset, or all identified findings.</w:t>
            </w:r>
          </w:p>
        </w:tc>
        <w:tc>
          <w:tcPr>
            <w:tcW w:type="dxa" w:w="2500"/>
          </w:tcPr>
          <w:p>
            <w:r>
              <w:rPr>
                <w:i/>
                <w:iCs/>
                <w:color w:val="B00000"/>
              </w:rPr>
              <w:t xml:space="preserve">Open — pending decision with Chris</w:t>
            </w:r>
          </w:p>
        </w:tc>
      </w:tr>
      <w:tr>
        <w:tc>
          <w:tcPr>
            <w:tcW w:type="dxa" w:w="1600"/>
          </w:tcPr>
          <w:p>
            <w:r>
              <w:rPr>
                <w:i w:val="false"/>
                <w:iCs w:val="false"/>
                <w:color w:val="000000"/>
              </w:rPr>
              <w:t xml:space="preserve">Manual process (proposed)</w:t>
            </w:r>
          </w:p>
        </w:tc>
        <w:tc>
          <w:tcPr>
            <w:tcW w:type="dxa" w:w="5200"/>
          </w:tcPr>
          <w:p>
            <w:r>
              <w:rPr>
                <w:i w:val="false"/>
                <w:iCs w:val="false"/>
                <w:color w:val="000000"/>
              </w:rPr>
              <w:t xml:space="preserve">Notify the finding's owner or manager directly (e.g., email/Teams) that a gold mine has been identified under their purview, using the same approach piloted for other manual notifications.</w:t>
            </w:r>
          </w:p>
        </w:tc>
        <w:tc>
          <w:tcPr>
            <w:tcW w:type="dxa" w:w="2500"/>
          </w:tcPr>
          <w:p>
            <w:r>
              <w:rPr>
                <w:i/>
                <w:iCs/>
                <w:color w:val="B00000"/>
              </w:rPr>
              <w:t xml:space="preserve">Draft proposal, not yet formalized or tested</w:t>
            </w:r>
          </w:p>
        </w:tc>
      </w:tr>
      <w:tr>
        <w:tc>
          <w:tcPr>
            <w:tcW w:type="dxa" w:w="1600"/>
          </w:tcPr>
          <w:p>
            <w:r>
              <w:rPr>
                <w:i w:val="false"/>
                <w:iCs w:val="false"/>
                <w:color w:val="000000"/>
              </w:rPr>
              <w:t xml:space="preserve">Brent / NHI workflow tie-in</w:t>
            </w:r>
          </w:p>
        </w:tc>
        <w:tc>
          <w:tcPr>
            <w:tcW w:type="dxa" w:w="5200"/>
          </w:tcPr>
          <w:p>
            <w:r>
              <w:rPr>
                <w:i w:val="false"/>
                <w:iCs w:val="false"/>
                <w:color w:val="000000"/>
              </w:rPr>
              <w:t xml:space="preserve">Gold mine alerts are one of the alert categories intended to route through the broader NHI alerting workflow once built out.</w:t>
            </w:r>
          </w:p>
        </w:tc>
        <w:tc>
          <w:tcPr>
            <w:tcW w:type="dxa" w:w="2500"/>
          </w:tcPr>
          <w:p>
            <w:r>
              <w:rPr>
                <w:i/>
                <w:iCs/>
                <w:color w:val="B00000"/>
              </w:rPr>
              <w:t xml:space="preserve">Pending — to be discussed with Brent</w:t>
            </w:r>
          </w:p>
        </w:tc>
      </w:tr>
    </w:tbl>
    <w:p>
      <w:pPr>
        <w:pStyle w:val="Heading1"/>
        <w:spacing w:after="120" w:before="280"/>
      </w:pPr>
      <w:r/>
      <w:r>
        <w:rPr>
          <w:b/>
        </w:rPr>
        <w:t>Part C — Exposed Secret / Token Workflow</w:t>
      </w:r>
    </w:p>
    <CT_P/>
    <w:p>
      <w:pPr>
        <w:pStyle w:val="Heading2"/>
        <w:spacing w:after="100" w:before="200"/>
      </w:pPr>
      <w:r>
        <w:t xml:space="preserve">What it is</w:t>
      </w:r>
    </w:p>
    <w:p>
      <w:pPr>
        <w:spacing w:after="120"/>
      </w:pPr>
      <w:r>
        <w:t>An automated alerting workflow built by Brent (Security team, reports to Eric Amos) using n8n, connected to Entro via webhook. The project call confirms the high-level Entro → webhook → n8n → notification path. Detailed validation, categorization, recipient, and exception logic remains pending Brent/Security validation.</w:t>
      </w:r>
    </w:p>
    <w:p>
      <w:pPr>
        <w:pStyle w:val="Heading2"/>
        <w:spacing w:after="100" w:before="200"/>
      </w:pPr>
      <w:r>
        <w:t xml:space="preserve">Why this design</w:t>
      </w:r>
    </w:p>
    <w:p>
      <w:pPr>
        <w:spacing w:after="120"/>
      </w:pPr>
      <w:r>
        <w:t xml:space="preserve">This use case was moved under the security team's ownership because these are security alerts, and the security team already had a working alert-automation tool (n8n) in place from a prior identity/security offsite. Like gold mine, it is classified as a technical/security use case dependent on the foundational segmentation use case — alerts must be scoped by segmentation so that, for example, HTS findings route only to HTS-relevant owners rather than being sent unscoped across the company.</w:t>
      </w:r>
    </w:p>
    <w:p>
      <w:pPr>
        <w:pStyle w:val="Heading2"/>
        <w:spacing w:after="100" w:before="200"/>
      </w:pPr>
      <w:r>
        <w:t xml:space="preserve">Process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2500"/>
      </w:tblGrid>
      <w:tr>
        <w:trPr>
          <w:tblHeader/>
        </w:trPr>
        <w:tc>
          <w:tcPr>
            <w:tcW w:type="dxa" w:w="1600"/>
            <w:shd w:fill="1F4E79" w:val="clear"/>
          </w:tcPr>
          <w:p>
            <w:r>
              <w:rPr>
                <w:b/>
                <w:bCs/>
                <w:color w:val="FFFFFF"/>
              </w:rPr>
              <w:t xml:space="preserve">Stage</w:t>
            </w:r>
          </w:p>
        </w:tc>
        <w:tc>
          <w:tcPr>
            <w:tcW w:type="dxa" w:w="5200"/>
            <w:shd w:fill="1F4E79" w:val="clear"/>
          </w:tcPr>
          <w:p>
            <w:r>
              <w:rPr>
                <w:b/>
                <w:bCs/>
                <w:color w:val="FFFFFF"/>
              </w:rPr>
              <w:t xml:space="preserve">Description</w:t>
            </w:r>
          </w:p>
        </w:tc>
        <w:tc>
          <w:tcPr>
            <w:tcW w:type="dxa" w:w="2500"/>
            <w:shd w:fill="1F4E79" w:val="clear"/>
          </w:tcPr>
          <w:p>
            <w:r>
              <w:rPr>
                <w:b/>
                <w:bCs/>
                <w:color w:val="FFFFFF"/>
              </w:rPr>
              <w:t xml:space="preserve">Status</w:t>
            </w:r>
          </w:p>
        </w:tc>
      </w:tr>
      <w:tr>
        <w:tc>
          <w:tcPr>
            <w:tcW w:type="dxa" w:w="1600"/>
          </w:tcPr>
          <w:p>
            <w:r>
              <w:rPr>
                <w:i w:val="false"/>
                <w:iCs w:val="false"/>
                <w:color w:val="000000"/>
              </w:rPr>
              <w:t xml:space="preserve">Trigger</w:t>
            </w:r>
          </w:p>
        </w:tc>
        <w:tc>
          <w:tcPr>
            <w:tcW w:type="dxa" w:w="5200"/>
          </w:tcPr>
          <w:p>
            <w:r>
              <w:t>Entro sends a risk alert to the existing n8n integration via webhook.</w:t>
            </w:r>
          </w:p>
        </w:tc>
        <w:tc>
          <w:tcPr>
            <w:tcW w:type="dxa" w:w="2500"/>
          </w:tcPr>
          <w:p>
            <w:r>
              <w:t>Confirmed — high-level flow</w:t>
            </w:r>
          </w:p>
        </w:tc>
      </w:tr>
      <w:tr>
        <w:tc>
          <w:tcPr>
            <w:tcW w:type="dxa" w:w="1600"/>
          </w:tcPr>
          <w:p>
            <w:r>
              <w:rPr>
                <w:i w:val="false"/>
                <w:iCs w:val="false"/>
                <w:color w:val="000000"/>
              </w:rPr>
              <w:t xml:space="preserve">Field validation</w:t>
            </w:r>
          </w:p>
        </w:tc>
        <w:tc>
          <w:tcPr>
            <w:tcW w:type="dxa" w:w="5200"/>
          </w:tcPr>
          <w:p>
            <w:r>
              <w:t>Prior workflow notes indicate a required-field validation step with manual-review handling when data is incomplete.</w:t>
            </w:r>
          </w:p>
        </w:tc>
        <w:tc>
          <w:tcPr>
            <w:tcW w:type="dxa" w:w="2500"/>
          </w:tcPr>
          <w:p>
            <w:r>
              <w:t>Pending Brent/Security validation</w:t>
            </w:r>
          </w:p>
        </w:tc>
      </w:tr>
      <w:tr>
        <w:tc>
          <w:tcPr>
            <w:tcW w:type="dxa" w:w="1600"/>
          </w:tcPr>
          <w:p>
            <w:r>
              <w:rPr>
                <w:i w:val="false"/>
                <w:iCs w:val="false"/>
                <w:color w:val="000000"/>
              </w:rPr>
              <w:t xml:space="preserve">Alert state check</w:t>
            </w:r>
          </w:p>
        </w:tc>
        <w:tc>
          <w:tcPr>
            <w:tcW w:type="dxa" w:w="5200"/>
          </w:tcPr>
          <w:p>
            <w:r>
              <w:t>Prior workflow notes indicate a check for whether the alert is already resolved before further routing.</w:t>
            </w:r>
          </w:p>
        </w:tc>
        <w:tc>
          <w:tcPr>
            <w:tcW w:type="dxa" w:w="2500"/>
          </w:tcPr>
          <w:p>
            <w:r>
              <w:t>Pending Brent/Security validation</w:t>
            </w:r>
          </w:p>
        </w:tc>
      </w:tr>
      <w:tr>
        <w:tc>
          <w:tcPr>
            <w:tcW w:type="dxa" w:w="1600"/>
          </w:tcPr>
          <w:p>
            <w:r>
              <w:rPr>
                <w:i w:val="false"/>
                <w:iCs w:val="false"/>
                <w:color w:val="000000"/>
              </w:rPr>
              <w:t xml:space="preserve">Category routing</w:t>
            </w:r>
          </w:p>
        </w:tc>
        <w:tc>
          <w:tcPr>
            <w:tcW w:type="dxa" w:w="5200"/>
          </w:tcPr>
          <w:p>
            <w:r>
              <w:t>Prior workflow notes indicate category-based routing for unresolved alerts.</w:t>
            </w:r>
          </w:p>
        </w:tc>
        <w:tc>
          <w:tcPr>
            <w:tcW w:type="dxa" w:w="2500"/>
          </w:tcPr>
          <w:p>
            <w:r>
              <w:t>Pending Brent/Security validation</w:t>
            </w:r>
          </w:p>
        </w:tc>
      </w:tr>
      <w:tr>
        <w:tc>
          <w:tcPr>
            <w:tcW w:type="dxa" w:w="1600"/>
          </w:tcPr>
          <w:p>
            <w:r>
              <w:rPr>
                <w:i w:val="false"/>
                <w:iCs w:val="false"/>
                <w:color w:val="000000"/>
              </w:rPr>
              <w:t xml:space="preserve">Owner check</w:t>
            </w:r>
          </w:p>
        </w:tc>
        <w:tc>
          <w:tcPr>
            <w:tcW w:type="dxa" w:w="5200"/>
          </w:tcPr>
          <w:p>
            <w:r>
              <w:t>Prior workflow notes indicate owner-based routing/notification, with a fallback when no owner is present.</w:t>
            </w:r>
          </w:p>
        </w:tc>
        <w:tc>
          <w:tcPr>
            <w:tcW w:type="dxa" w:w="2500"/>
          </w:tcPr>
          <w:p>
            <w:r>
              <w:t>Pending Brent/Security validation</w:t>
            </w:r>
          </w:p>
        </w:tc>
      </w:tr>
      <w:tr>
        <w:tc>
          <w:tcPr>
            <w:tcW w:type="dxa" w:w="1600"/>
          </w:tcPr>
          <w:p>
            <w:r>
              <w:rPr>
                <w:i w:val="false"/>
                <w:iCs w:val="false"/>
                <w:color w:val="000000"/>
              </w:rPr>
              <w:t xml:space="preserve">Multiple-owner scenario</w:t>
            </w:r>
          </w:p>
        </w:tc>
        <w:tc>
          <w:tcPr>
            <w:tcW w:type="dxa" w:w="5200"/>
          </w:tcPr>
          <w:p>
            <w:r>
              <w:rPr>
                <w:i w:val="false"/>
                <w:iCs w:val="false"/>
                <w:color w:val="000000"/>
              </w:rPr>
              <w:t xml:space="preserve">Behavior when a token/finding has more than one owner.</w:t>
            </w:r>
          </w:p>
        </w:tc>
        <w:tc>
          <w:tcPr>
            <w:tcW w:type="dxa" w:w="2500"/>
          </w:tcPr>
          <w:p>
            <w:r>
              <w:rPr>
                <w:i/>
                <w:iCs/>
                <w:color w:val="B00000"/>
              </w:rPr>
              <w:t>gap flagged by Brent, needs resolution</w:t>
            </w:r>
          </w:p>
        </w:tc>
      </w:tr>
      <w:tr>
        <w:tc>
          <w:tcPr>
            <w:tcW w:type="dxa" w:w="1600"/>
          </w:tcPr>
          <w:p>
            <w:r>
              <w:rPr>
                <w:i w:val="false"/>
                <w:iCs w:val="false"/>
                <w:color w:val="000000"/>
              </w:rPr>
              <w:t xml:space="preserve">Notification channel — final decision</w:t>
            </w:r>
          </w:p>
        </w:tc>
        <w:tc>
          <w:tcPr>
            <w:tcW w:type="dxa" w:w="5200"/>
          </w:tcPr>
          <w:p>
            <w:r>
              <w:rPr>
                <w:i w:val="false"/>
                <w:iCs w:val="false"/>
                <w:color w:val="000000"/>
              </w:rPr>
              <w:t xml:space="preserve">Confirm whether Teams/email routing was finalized or remains open from prior discussion.</w:t>
            </w:r>
          </w:p>
        </w:tc>
        <w:tc>
          <w:tcPr>
            <w:tcW w:type="dxa" w:w="2500"/>
          </w:tcPr>
          <w:p>
            <w:r>
              <w:rPr>
                <w:i/>
                <w:iCs/>
                <w:color w:val="B00000"/>
              </w:rPr>
              <w:t>pending confirmation</w:t>
            </w:r>
          </w:p>
        </w:tc>
      </w:tr>
      <w:tr>
        <w:tc>
          <w:tcPr>
            <w:tcW w:type="dxa" w:w="1600"/>
          </w:tcPr>
          <w:p>
            <w:r>
              <w:rPr>
                <w:i w:val="false"/>
                <w:iCs w:val="false"/>
                <w:color w:val="000000"/>
              </w:rPr>
              <w:t xml:space="preserve">Escalation path</w:t>
            </w:r>
          </w:p>
        </w:tc>
        <w:tc>
          <w:tcPr>
            <w:tcW w:type="dxa" w:w="5200"/>
          </w:tcPr>
          <w:p>
            <w:r>
              <w:rPr>
                <w:i w:val="false"/>
                <w:iCs w:val="false"/>
                <w:color w:val="000000"/>
              </w:rPr>
              <w:t xml:space="preserve">Whether unresolved items escalate from Chris to Jim, or from Chris to the GRC lead.</w:t>
            </w:r>
          </w:p>
        </w:tc>
        <w:tc>
          <w:tcPr>
            <w:tcW w:type="dxa" w:w="2500"/>
          </w:tcPr>
          <w:p>
            <w:r>
              <w:rPr>
                <w:i/>
                <w:iCs/>
                <w:color w:val="B00000"/>
              </w:rPr>
              <w:t>pending decision</w:t>
            </w:r>
          </w:p>
        </w:tc>
      </w:tr>
      <w:tr>
        <w:tc>
          <w:tcPr>
            <w:tcW w:type="dxa" w:w="1600"/>
          </w:tcPr>
          <w:p>
            <w:r>
              <w:rPr>
                <w:i w:val="false"/>
                <w:iCs w:val="false"/>
                <w:color w:val="000000"/>
              </w:rPr>
              <w:t xml:space="preserve">Non-human / agent account handling</w:t>
            </w:r>
          </w:p>
        </w:tc>
        <w:tc>
          <w:tcPr>
            <w:tcW w:type="dxa" w:w="5200"/>
          </w:tcPr>
          <w:p>
            <w:r>
              <w:rPr>
                <w:i w:val="false"/>
                <w:iCs w:val="false"/>
                <w:color w:val="000000"/>
              </w:rPr>
              <w:t xml:space="preserve">Full automation (Teams lookup/notification) is blocked until Active Directory guidance exists for maintaining and auditing non-human (agent) accounts. Currently dependent on Eric.</w:t>
            </w:r>
          </w:p>
        </w:tc>
        <w:tc>
          <w:tcPr>
            <w:tcW w:type="dxa" w:w="2500"/>
          </w:tcPr>
          <w:p>
            <w:r>
              <w:rPr>
                <w:i/>
                <w:iCs/>
                <w:color w:val="B00000"/>
              </w:rPr>
              <w:t>blocked, pending Eric</w:t>
            </w:r>
          </w:p>
        </w:tc>
      </w:tr>
      <w:tr>
        <w:tc>
          <w:tcPr>
            <w:tcW w:type="dxa" w:w="1600"/>
          </w:tcPr>
          <w:p>
            <w:r>
              <w:rPr>
                <w:i w:val="false"/>
                <w:iCs w:val="false"/>
                <w:color w:val="000000"/>
              </w:rPr>
              <w:t xml:space="preserve">Segmentation dependency</w:t>
            </w:r>
          </w:p>
        </w:tc>
        <w:tc>
          <w:tcPr>
            <w:tcW w:type="dxa" w:w="5200"/>
          </w:tcPr>
          <w:p>
            <w:r>
              <w:rPr>
                <w:i w:val="false"/>
                <w:iCs w:val="false"/>
                <w:color w:val="000000"/>
              </w:rPr>
              <w:t xml:space="preserve">Full HTS pilot rollout depends on the expanded segmentation logic (Division + Company + Department) being delivered by Entro.</w:t>
            </w:r>
          </w:p>
        </w:tc>
        <w:tc>
          <w:tcPr>
            <w:tcW w:type="dxa" w:w="2500"/>
          </w:tcPr>
          <w:p>
            <w:r>
              <w:rPr>
                <w:i/>
                <w:iCs/>
                <w:color w:val="B00000"/>
              </w:rPr>
              <w:t>dependent on Entro delivery date</w:t>
            </w:r>
          </w:p>
        </w:tc>
      </w:tr>
    </w:tbl>
    <w:p>
      <w:pPr>
        <w:pStyle w:val="Heading1"/>
        <w:spacing w:after="120" w:before="280"/>
      </w:pPr>
      <w:r>
        <w:t xml:space="preserve">Next Steps</w:t>
      </w:r>
    </w:p>
    <w:p>
      <w:pPr>
        <w:pStyle w:val="ListParagraph"/>
        <w:numPr>
          <w:ilvl w:val="0"/>
          <w:numId w:val="1"/>
        </w:numPr>
        <w:spacing w:after="80"/>
      </w:pPr>
      <w:r>
        <w:t xml:space="preserve">Get a pilot-scope decision from Chris on gold mine (one finding, a subset, or full set).</w:t>
      </w:r>
    </w:p>
    <w:p>
      <w:pPr>
        <w:pStyle w:val="ListParagraph"/>
        <w:numPr>
          <w:ilvl w:val="0"/>
          <w:numId w:val="1"/>
        </w:numPr>
        <w:spacing w:after="80"/>
      </w:pPr>
      <w:r>
        <w:t>Validate the detailed exposed-secret workflow with Brent/Security, including decision branches, owner/recipient routing, multi-owner handling, notification channel, escalation path, and the non-human account blocker status.</w:t>
      </w:r>
    </w:p>
    <w:p>
      <w:pPr>
        <w:pStyle w:val="ListParagraph"/>
        <w:numPr>
          <w:ilvl w:val="0"/>
          <w:numId w:val="1"/>
        </w:numPr>
        <w:spacing w:after="80"/>
      </w:pPr>
      <w:r>
        <w:t xml:space="preserve">Confirm Entro's delivery date for the expanded segmentation logic, since both use cases in this document depend on it for full rollout.</w:t>
      </w:r>
    </w:p>
    <w:p>
      <w:pPr>
        <w:pStyle w:val="Heading1"/>
        <w:spacing w:after="120" w:before="280"/>
      </w:pPr>
      <w:r>
        <w:t xml:space="preserve">Appendix: Entro Remediation Strategy Reference (Gold Mine)</w:t>
      </w:r>
    </w:p>
    <w:p>
      <w:pPr>
        <w:spacing w:after="120"/>
      </w:pPr>
      <w:r>
        <w:rPr>
          <w:i/>
          <w:iCs/>
          <w:color w:val="666666"/>
        </w:rPr>
        <w:t>Reference material from Entro's Remediation Strategy guide. Not yet mapped to our specific gold mine findings.</w:t>
      </w:r>
    </w:p>
    <w:p>
      <w:pPr>
        <w:pStyle w:val="ListParagraph"/>
        <w:numPr>
          <w:ilvl w:val="0"/>
          <w:numId w:val="1"/>
        </w:numPr>
        <w:spacing w:after="80"/>
      </w:pPr>
      <w:r>
        <w:t>Native: Remediation Campaigns group high-risk identities and track remediation to completion. The vendor material states that automated policies (Zero Trust, permissions right-sizing, auto-disabling tokens) were 'Coming soon (April 2026)'; current availability must be confirmed with Entro.</w:t>
      </w:r>
    </w:p>
    <w:p>
      <w:pPr>
        <w:pStyle w:val="ListParagraph"/>
        <w:numPr>
          <w:ilvl w:val="0"/>
          <w:numId w:val="1"/>
        </w:numPr>
        <w:spacing w:after="80"/>
      </w:pPr>
      <w:r>
        <w:t xml:space="preserve">Automated: Integration with existing SOAR platforms (Tines, Torq, Workato, BlinkOps, Google SecOps SOAR, Zapier) for distributed alerting directly to responsible engineers, or via Entro's webhook/REST API into SIEM/SOC tooling (Splunk, ServiceNow, Sumo Logic, Google SecOps SIEM, Seemplicity, Cortex, Cribl).</w:t>
      </w:r>
    </w:p>
    <w:p>
      <w:pPr>
        <w:pStyle w:val="ListParagraph"/>
        <w:numPr>
          <w:ilvl w:val="0"/>
          <w:numId w:val="1"/>
        </w:numPr>
        <w:spacing w:after="80"/>
      </w:pPr>
      <w:r>
        <w:t xml:space="preserve">Manual: Assign to owner directly via Slack, Teams, JIRA, or Email; create JIRA tickets for multiple risks; or export findings to CSV and distribute to feature owners outside of Entro.</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Internal working document | Updated August 11,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NHI Use Case Documentation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72C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