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>
          <w:sz w:val="58"/>
          <w:szCs w:val="5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58"/>
          <w:szCs w:val="58"/>
          <w:rtl w:val="0"/>
        </w:rPr>
        <w:t xml:space="preserve">RONNIE BAILEY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before="0" w:lineRule="auto"/>
        <w:jc w:val="center"/>
        <w:rPr/>
      </w:pPr>
      <w:r w:rsidDel="00000000" w:rsidR="00000000" w:rsidRPr="00000000">
        <w:rPr>
          <w:color w:val="000000"/>
          <w:rtl w:val="0"/>
        </w:rPr>
        <w:t xml:space="preserve">Richmond, VA | (804) 610-9719 | </w:t>
      </w:r>
      <w:r w:rsidDel="00000000" w:rsidR="00000000" w:rsidRPr="00000000">
        <w:rPr>
          <w:rtl w:val="0"/>
        </w:rPr>
        <w:t xml:space="preserve">opportunities@ronniebailey.cloud</w:t>
      </w:r>
      <w:r w:rsidDel="00000000" w:rsidR="00000000" w:rsidRPr="00000000">
        <w:rPr>
          <w:color w:val="000000"/>
          <w:rtl w:val="0"/>
        </w:rPr>
        <w:t xml:space="preserve"> | www.ronniebailey.cloud | linkedin.com/in/ronniebailey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d1d5db" w:space="1" w:sz="6" w:val="single"/>
        </w:pBd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before="60" w:lineRule="auto"/>
        <w:jc w:val="both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1a1a1a"/>
          <w:sz w:val="24"/>
          <w:szCs w:val="24"/>
          <w:rtl w:val="0"/>
        </w:rPr>
        <w:t xml:space="preserve">Lead Identity Security Architect and technical escalation authority specializing in complex hybrid identity environments. 15+ years resolving critical authentication failures, designing Zero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1a1a1a"/>
          <w:sz w:val="24"/>
          <w:szCs w:val="24"/>
          <w:rtl w:val="0"/>
        </w:rPr>
        <w:t xml:space="preserve">Trust frameworks, and establishing enterprise IAM patterns across Fortune 500 enterprises and federal agencies.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60" w:lineRule="auto"/>
        <w:jc w:val="both"/>
        <w:rPr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d1d5db" w:space="1" w:sz="6" w:val="single"/>
        </w:pBdr>
        <w:spacing w:after="40" w:before="160" w:lineRule="auto"/>
        <w:rPr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8"/>
          <w:szCs w:val="28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Enterprise IAM Program Director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iHeartMedia</w:t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i w:val="1"/>
          <w:iCs w:val="1"/>
          <w:color w:val="6b7280"/>
          <w:sz w:val="24"/>
          <w:szCs w:val="24"/>
          <w:rtl w:val="0"/>
        </w:rPr>
        <w:t xml:space="preserve">06/2025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Own core identity security components across iHeartMedia's enterprise IAM program spanning a 30,000 user hybrid environment across iHeartMedia, Katz Media Group, Triton Digital, Premiere Networks, and subsidiary brands.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Align security, IT, HR, and business stakeholders to drive identity maturity and risk reduction across a multi-subsidiary portfolio with no prior accountability structure.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Governs cross-boundary identity and access for international business partners and third-party collaborators across Triton Digital's global operations spanning more than 50 countries, managing federation trust, entitlement scoping, and access lifecycle across non-employee identity populations.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Define and maintain the identity and access management ownership model and RACI framework, establishing cross-functional accountability across security, engineering, and business teams where none previously existed.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Direct Conditional Access strategy and enforcement across a 60-policy estate aligned to Zero Trust, driving MFA enforcement, device compliance, and risk-based access controls at enterprise scale.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Re-establish enterprise identity governance and lifecycle controls across HRIS-integrated systems, restoring provisioning integrity and access governance across Entra ID and connected enterprise systems.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Define and drive enterprise authentication and federation standards across critical business platforms including Workday, Genea, and GCP-integrated systems.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Establish enterprise privileged access strategy, eliminating standing privilege and enforcing just-in-time access and credential governance across all administrative tiers.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before="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Deliver weekly identity risk reporting directly to the CISO, translating technical exposure into prioritized business decisions with clear ownership and measurable outcomes.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rPr>
          <w:rFonts w:ascii="Calibri" w:cs="Calibri" w:eastAsia="Calibri" w:hAnsi="Calibri"/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Entra ID · Active Directory · BeyondTrust · Azure Logic Apps · AWS IAM · Google Cloud Identity · Workday · SAML · OIDC · Azure Key Vault · Conditional Access · Entra ID PIM · PowerShell · Python · Zero Trust · SCIM · ServiceNow</w:t>
      </w:r>
    </w:p>
    <w:p w:rsidR="00000000" w:rsidDel="00000000" w:rsidP="00000000" w:rsidRDefault="00000000" w:rsidRPr="00000000" w14:paraId="00000013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Lead Identity Security Architect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" w:before="0" w:lineRule="auto"/>
        <w:rPr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LexisNexis / United States Patent and Trademark Office</w:t>
        <w:tab/>
        <w:tab/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            </w:t>
      </w:r>
      <w:r w:rsidDel="00000000" w:rsidR="00000000" w:rsidRPr="00000000">
        <w:rPr>
          <w:i w:val="1"/>
          <w:iCs w:val="1"/>
          <w:color w:val="6b7280"/>
          <w:sz w:val="24"/>
          <w:szCs w:val="24"/>
          <w:rtl w:val="0"/>
        </w:rPr>
        <w:t xml:space="preserve">04/2024 – 06/2025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536.000000000002"/>
        </w:tabs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Public Trust Clearance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Zero Trust architecture aligned to NIST 800-207 with JIT provisioning and continuous authentication monitoring, adjusting access decisions in real time based on behavioral risk signals.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behavioral risk evaluation models adjusting access decisions dynamically based on user activity and contextual identity signals.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Led Azure security architecture aligned to NIST 800-53 and CIS standards, authoring Infrastructure-as-Code security policies that enforce baseline configurations and surface configuration drift in real time.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Standardized identity and security controls across AWS, Azure, and GCP with centralized CSPM integration, delivering unified dashboards aggregating risk signals across all three platforms for executive visibility.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Redesigned One Identity Safeguard deployment for enterprise-wide privileged access control, executing a full offboarding and re-onboarding of privileged assets and realigning session recording, account rotation, and access policies from the ground up.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Integrated Auth0 to deliver OAuth2 and OIDC-based SSO across enterprise applications, supporting FedRAMP and NIST 800-53-compliant authentication workflows with certificate rotation and trust validation.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Engineered threat correlation across CrowdStrike Falcon, Microsoft Defender, Palo Alto, and Checkpoint, improving detection quality and reducing response time through intelligent alert triage and deduplication.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forensic response processes using Secureworks Taegis aligned to NIST 800-86, ensuring defensible evidence handling and investigation integrity.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Translated complex architecture and security findings into business impact for executive stakeholders, enabling informed decision-making on risk and remediation priorities.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before="40" w:lineRule="auto"/>
        <w:rPr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Zero Trust · Entra ID · Azure · GCP · AWS · NIST 800-53 · CIS Controls · MITRE ATT&amp;CK · One Identity Safeguard · CrowdStrike · Microsoft Defender · Palo Alto · Auth0 · SAML · OIDC · OAuth2 · PowerShell · Python · Incident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Identity &amp; Access Management Architect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0" w:before="0" w:lineRule="auto"/>
        <w:rPr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Kroger, Technology &amp; Digital Department</w:t>
        <w:tab/>
        <w:tab/>
        <w:tab/>
        <w:tab/>
        <w:tab/>
        <w:tab/>
      </w: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             </w:t>
      </w:r>
      <w:r w:rsidDel="00000000" w:rsidR="00000000" w:rsidRPr="00000000">
        <w:rPr>
          <w:i w:val="1"/>
          <w:iCs w:val="1"/>
          <w:color w:val="6b7280"/>
          <w:sz w:val="24"/>
          <w:szCs w:val="24"/>
          <w:rtl w:val="0"/>
        </w:rPr>
        <w:t xml:space="preserve">12/2022 – 02/2024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Led identity provisioning for 32,000 users across US and UK operations while maintaining HIPAA compliance, implementing structured lifecycle controls and removing manual provisioning from the critical path.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role-aware provisioning workflows adapting access based on job function and peer access patterns, reducing inconsistent access assignments and privilege creep.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Implemented PAM using One Identity Safeguard and TPAM, enforcing just-in-time privilege elevation tied to ServiceNow approval workflows and significantly reducing standing privileged access.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Modernized identity using Entra ID across 12,000 hybrid users, eliminating legacy access models and improving authentication consistency across applications.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Integrated Ping SSO and MFA across more than 40 applications using risk-based authentication policies; behavioral analytics reduced password-reset volume while cutting unauthorized access attempts.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AKS workload identity solution eliminating static credentials in containerized environments through workload identity federation.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continuous access certification processes using behavioral analytics to identify dormant accounts, excessive permissions, and separation-of-duties violations across 20,000 accounts.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Deployed CrowdStrike Falcon with threat hunting playbooks across a fleet of 2,000 endpoints, strengthening threat detection, visibility, and incident response capabilities.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Deployed Varonis for file access monitoring and data classification, strengthening SOX and GDPR audit readiness through continuous policy validation.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Streamlined Active Directory using RBAC and Conditional Access to reduce policy drift and improve access governance consistency.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before="40" w:lineRule="auto"/>
        <w:rPr>
          <w:rFonts w:ascii="Calibri" w:cs="Calibri" w:eastAsia="Calibri" w:hAnsi="Calibri"/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Entra ID · Azure AD · OneIdentity Safeguard · TPAM · Ping Identity · Okta · CrowdStrike · Varonis · VMware · Kubernetes · AKS · ServiceNow · NIST 800-53 · PowerShell · Python</w:t>
      </w:r>
    </w:p>
    <w:p w:rsidR="00000000" w:rsidDel="00000000" w:rsidP="00000000" w:rsidRDefault="00000000" w:rsidRPr="00000000" w14:paraId="0000002F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Customer Identity &amp; Access Management Architect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" w:before="0" w:lineRule="auto"/>
        <w:rPr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Homeland Security, OCIO / US Secret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right" w:leader="none" w:pos="10536.000000000002"/>
        </w:tabs>
        <w:spacing w:after="6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Public Trust Clearance </w:t>
        <w:tab/>
        <w:t xml:space="preserve">02/2022 – 12/2022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Integrated identity across more than 100 federal systems using SAML, OAuth2, and Active Directory federation, supporting large-scale ICAM initiatives across distributed federal infrastructure.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Positioned IAM as a core security control within Zero Trust strategy across federal environments, improving authentication assurance and access control.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Led ISO 27001 certification for the DHS Information Security Management System, establishing governance frameworks and control validation processes adopted agency-wide.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Migrated more than 50 systems to GCP under FedRAMP Moderate authorization, implementing continuous compliance monitoring and infrastructure-as-code security baselines.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Enforced least privilege across serverless workloads using workload identity federation, with permissions adjusting dynamically based on runtime context.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Implemented Saviynt across a workforce of 15,000 users enabling access governance, entitlement reviews, and separation-of-duties enforcement, dramatically reducing manual certification effort.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Delivered security scripting using PowerShell, Python, and Java aligned to FISMA compliance, producing reusable modules adopted across DHS security teams.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0" w:before="0" w:lineRule="auto"/>
        <w:rPr>
          <w:rFonts w:ascii="Calibri" w:cs="Calibri" w:eastAsia="Calibri" w:hAnsi="Calibri"/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CyberArk · GCP · FISMA · FedRAMP · ISO 27001 · Saviynt · PowerShell · Python · Java · Active Directory · OAuth 2.0 · SAML 2.0 · Zero Trust Architecture</w:t>
      </w:r>
    </w:p>
    <w:p w:rsidR="00000000" w:rsidDel="00000000" w:rsidP="00000000" w:rsidRDefault="00000000" w:rsidRPr="00000000" w14:paraId="0000003A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Cloud Vulnerability Analyst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Accessia Health</w:t>
      </w: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Calibri" w:cs="Calibri" w:eastAsia="Calibri" w:hAnsi="Calibri"/>
          <w:color w:val="9ca3af"/>
          <w:sz w:val="24"/>
          <w:szCs w:val="24"/>
          <w:rtl w:val="0"/>
        </w:rPr>
        <w:t xml:space="preserve">National Non-Profit Patient Assistance</w:t>
      </w:r>
      <w:r w:rsidDel="00000000" w:rsidR="00000000" w:rsidRPr="00000000">
        <w:rPr>
          <w:sz w:val="24"/>
          <w:szCs w:val="24"/>
          <w:rtl w:val="0"/>
        </w:rPr>
        <w:t xml:space="preserve"> </w:t>
        <w:tab/>
        <w:tab/>
        <w:tab/>
        <w:tab/>
        <w:t xml:space="preserve">             </w:t>
      </w:r>
      <w:r w:rsidDel="00000000" w:rsidR="00000000" w:rsidRPr="00000000">
        <w:rPr>
          <w:i w:val="1"/>
          <w:iCs w:val="1"/>
          <w:color w:val="6b7280"/>
          <w:sz w:val="24"/>
          <w:szCs w:val="24"/>
          <w:rtl w:val="0"/>
        </w:rPr>
        <w:t xml:space="preserve">07/2021 – 12/2021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Led vulnerability management aligned to NIST 800-53 and HIPAA across enterprise systems, prioritizing remediation based on exploitability, business criticality, and threat intelligence.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audit-ready compliance reporting via PingFederate logs supporting SOX, GDPR, and HIPAA requirements with real-time dashboards for continuous authentication visibility.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Deployed PingFederate and Citrix NetScaler supporting high-availability authentication services through failover and health monitoring.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credential vaulting and rotation for privileged healthcare accounts, eliminating static privileged credentials across the environment.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Secured AWS workloads using identity-aware proxies and service mesh policy enforcement, enabling zero trust network access for containerized healthcare applications.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Embedded security review into the infrastructure change process using policy-as-code frameworks, catching compliance violations before deployment rather than after.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Managed certificate lifecycle across a portfolio of 150 domains ensuring continuous compliance and eliminating manual tracking overhead.</w:t>
      </w:r>
    </w:p>
    <w:p w:rsidR="00000000" w:rsidDel="00000000" w:rsidP="00000000" w:rsidRDefault="00000000" w:rsidRPr="00000000" w14:paraId="00000044">
      <w:pPr>
        <w:spacing w:after="60" w:before="40" w:lineRule="auto"/>
        <w:rPr>
          <w:rFonts w:ascii="Calibri" w:cs="Calibri" w:eastAsia="Calibri" w:hAnsi="Calibri"/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HIPAA · NIST 800-53 · SOX · GDPR · PingFederate · Citrix NetScaler · AWS · PowerShell · CyberArk · Vulnerability Assessment</w:t>
      </w:r>
    </w:p>
    <w:p w:rsidR="00000000" w:rsidDel="00000000" w:rsidP="00000000" w:rsidRDefault="00000000" w:rsidRPr="00000000" w14:paraId="00000045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Privileged Access Management Architect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Indivior Pharmaceuticals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</w:t>
        <w:tab/>
        <w:tab/>
        <w:tab/>
        <w:tab/>
        <w:tab/>
        <w:t xml:space="preserve"> </w:t>
      </w:r>
      <w:r w:rsidDel="00000000" w:rsidR="00000000" w:rsidRPr="00000000">
        <w:rPr>
          <w:rFonts w:ascii="Calibri" w:cs="Calibri" w:eastAsia="Calibri" w:hAnsi="Calibri"/>
          <w:color w:val="9ca3af"/>
          <w:sz w:val="24"/>
          <w:szCs w:val="24"/>
          <w:rtl w:val="0"/>
        </w:rPr>
        <w:tab/>
        <w:tab/>
        <w:tab/>
      </w:r>
      <w:r w:rsidDel="00000000" w:rsidR="00000000" w:rsidRPr="00000000">
        <w:rPr>
          <w:color w:val="9ca3af"/>
          <w:sz w:val="24"/>
          <w:szCs w:val="24"/>
          <w:rtl w:val="0"/>
        </w:rPr>
        <w:t xml:space="preserve">             </w:t>
      </w:r>
      <w:r w:rsidDel="00000000" w:rsidR="00000000" w:rsidRPr="00000000">
        <w:rPr>
          <w:i w:val="1"/>
          <w:iCs w:val="1"/>
          <w:color w:val="6b7280"/>
          <w:sz w:val="24"/>
          <w:szCs w:val="24"/>
          <w:rtl w:val="0"/>
        </w:rPr>
        <w:t xml:space="preserve">10/2019 – 07/2021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Led enterprise PAM transformation, mapping more than 200 job functions into structured least privilege RBAC models to systematically reduce excessive access across enterprise applications.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Deployed BeyondTrust PAM securing approximately 1,200 privileged accounts, enforcing SOX-compliant credential rotation, session monitoring, and audit controls while eliminating standing privileged access for routine operations.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adaptive access policies in Entra ID with risk-based scoring that enforces access controls dynamically based on real-time threat intelligence and user behavior.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privileged access workflows supporting just-in-time elevation, approval-based access, and administrative tier separation.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Established centralized governance for privileged accounts across legacy systems and business units.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GCP security framework using Google IAM and Security Command Center, introducing centralized threat detection, policy enforcement, and access visibility across workloads.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Implemented BitLocker encryption with deployment and backup policies protecting ePHI across all endpoints in compliance with HIPAA requirements.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Integrated Terraform guardrails using policy validation, enforcing compliance from deployment through runtime with continuous scanning and drift detection.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mobile device management using Microsoft Intune with enforcement policies for a distributed workforce, securing remote access without impeding productivity.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Supported incident response through analysis of privileged account activity and identification of misuse patterns across enterprise endpoints.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Briefed executive leadership on security risks, compliance gaps, and mitigation strategies, translating technical findings into business impact through data-driven risk dashboards.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Rule="auto"/>
        <w:rPr>
          <w:rFonts w:ascii="Calibri" w:cs="Calibri" w:eastAsia="Calibri" w:hAnsi="Calibri"/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BeyondTrust · CyberArk · Entra ID · Azure AD · GCP · Microsoft Intune · Carbon Black · SOX Compliance · Terraform · PowerShell · Python</w:t>
      </w:r>
    </w:p>
    <w:p w:rsidR="00000000" w:rsidDel="00000000" w:rsidP="00000000" w:rsidRDefault="00000000" w:rsidRPr="00000000" w14:paraId="00000054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Identity &amp; Access Management Analyst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Wells Fargo Bank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ab/>
        <w:tab/>
        <w:tab/>
        <w:tab/>
        <w:tab/>
        <w:tab/>
        <w:tab/>
        <w:tab/>
        <w:tab/>
      </w:r>
      <w:r w:rsidDel="00000000" w:rsidR="00000000" w:rsidRPr="00000000">
        <w:rPr>
          <w:i w:val="1"/>
          <w:iCs w:val="1"/>
          <w:color w:val="6b7280"/>
          <w:sz w:val="24"/>
          <w:szCs w:val="24"/>
          <w:rtl w:val="0"/>
        </w:rPr>
        <w:t xml:space="preserve">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04/2019 – 10/2019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a Zero Trust-aligned IAM framework with risk-based access controls, applying continuous verification and intelligent policy recommendations driven by historical access patterns.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consistent identity controls across AWS and Azure environments using infrastructure-as-code for policy synchronization across cloud platforms.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Enforced FFIEC and GLBA requirements via SCCM and Office 365 with access controls and continuous compliance monitoring across the banking environment.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Extended Microsoft Defender's remediation capabilities through orchestrated threat response workflows and intelligent alert correlation, reducing analyst triage time.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Engineered progressive profiling workflows using ADFS with failover for customer-facing banking applications, adding intelligent session management and fraud detection capabilities.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Maintained a user base of 12,000 accounts across hybrid environments through lifecycle workflows, ensuring timely access grants and revocations via HR system integration.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Ran staff security education alongside phishing response workflows, significantly reducing incident response time through orchestrated investigation and remediation.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Briefed upper management on cloud security risks and mitigation strategies using risk dashboards that provided actionable recommendations and continuous visibility into posture trends.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60" w:before="40" w:lineRule="auto"/>
        <w:rPr>
          <w:rFonts w:ascii="Calibri" w:cs="Calibri" w:eastAsia="Calibri" w:hAnsi="Calibri"/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Zero Trust Architecture · AWS · Azure · ADFS · Office 365 · SCCM · Microsoft Defender · FFIEC · GLBA · Agile · Waterfall</w:t>
      </w:r>
    </w:p>
    <w:p w:rsidR="00000000" w:rsidDel="00000000" w:rsidP="00000000" w:rsidRDefault="00000000" w:rsidRPr="00000000" w14:paraId="00000060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Customer Identity &amp; Access Management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Wellsecured IT</w:t>
      </w:r>
      <w:r w:rsidDel="00000000" w:rsidR="00000000" w:rsidRPr="00000000">
        <w:rPr>
          <w:rFonts w:ascii="Calibri" w:cs="Calibri" w:eastAsia="Calibri" w:hAnsi="Calibri"/>
          <w:color w:val="9ca3af"/>
          <w:sz w:val="24"/>
          <w:szCs w:val="24"/>
          <w:rtl w:val="0"/>
        </w:rPr>
        <w:t xml:space="preserve">  </w:t>
      </w:r>
      <w:r w:rsidDel="00000000" w:rsidR="00000000" w:rsidRPr="00000000">
        <w:rPr>
          <w:sz w:val="24"/>
          <w:szCs w:val="24"/>
          <w:rtl w:val="0"/>
        </w:rPr>
        <w:tab/>
        <w:tab/>
        <w:tab/>
        <w:tab/>
        <w:tab/>
        <w:tab/>
        <w:tab/>
        <w:tab/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ab/>
      </w:r>
      <w:r w:rsidDel="00000000" w:rsidR="00000000" w:rsidRPr="00000000">
        <w:rPr>
          <w:i w:val="1"/>
          <w:iCs w:val="1"/>
          <w:color w:val="6b7280"/>
          <w:sz w:val="24"/>
          <w:szCs w:val="24"/>
          <w:rtl w:val="0"/>
        </w:rPr>
        <w:t xml:space="preserve">        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10/2015 – 01/2019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pacing w:after="0" w:afterAutospacing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and implemented Zero Trust IAM frameworks across Azure, GCP, and M365, reducing standing privilege by over 70 percent across enterprise environments.</w:t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Served as escalation authority for critical IAM failures including SAML trust breakdowns, authentication loops, certificate expirations, and provisioning outages. When support tiers could not resolve it, the problem came here.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certificate lifecycle management processes for SAML, OIDC, and OAuth2 across more than 100 enterprise applications; proactive 60-day alerts and direct SaaS vendor coordination eliminated authentication outages entirely.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Managed identity data integrity across Workday, Active Directory, and Entra ID, resolving sync failures and attribute inconsistencies that blocked joiner, mover, and leaver processes across the hybrid identity stack.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Led migration to ForgeRock Identity Management with workflow standardization for hybrid environments, cutting provisioning delays through intelligent lifecycle automation and structured exception handling.</w:t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Integrated Splunk with IAM tooling for security event monitoring and alerting, achieving ISO/IEC 27001 and NIST 800-53 compliance through centralized log correlation and threat detection.</w:t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Delivered Auth0 integration for client-facing financial services portals, building intelligent authentication that balanced security requirements with user experience at scale.</w:t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Implemented OAuth 2.0 and OpenID Connect with token lifecycle management for cloud-native application APIs and microservices architectures.</w:t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AWS IAM roles and encryption protocols across multi-cloud environments with policy enforcement ensuring consistent least-privilege patterns at scale.</w:t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Stabilized fragmented IAM environments across enterprise clients with multiple identity providers and legacy system dependencies.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Partnered with DevOps to embed log analysis and incident response directly into CI/CD pipelines.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60" w:before="40" w:lineRule="auto"/>
        <w:rPr>
          <w:rFonts w:ascii="Calibri" w:cs="Calibri" w:eastAsia="Calibri" w:hAnsi="Calibri"/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ForgeRock IDM · Splunk · ISO/IEC 27001 · NIST 800-53 · Ping Identity · Citrix · VMware · PowerShell · AWS · Auth0 · Azure AD · Workday · ActiveIDM</w:t>
      </w:r>
    </w:p>
    <w:p w:rsidR="00000000" w:rsidDel="00000000" w:rsidP="00000000" w:rsidRDefault="00000000" w:rsidRPr="00000000" w14:paraId="00000073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Cloud Security Operations Lead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Cloudcentria Security</w:t>
      </w: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9ca3af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ab/>
        <w:tab/>
        <w:tab/>
        <w:tab/>
        <w:tab/>
        <w:tab/>
        <w:tab/>
        <w:tab/>
        <w:t xml:space="preserve">        </w:t>
      </w:r>
      <w:r w:rsidDel="00000000" w:rsidR="00000000" w:rsidRPr="00000000">
        <w:rPr>
          <w:i w:val="1"/>
          <w:iCs w:val="1"/>
          <w:color w:val="6b7280"/>
          <w:sz w:val="24"/>
          <w:szCs w:val="24"/>
          <w:rtl w:val="0"/>
        </w:rPr>
        <w:t xml:space="preserve">   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06/2011 – 12/2015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pacing w:after="0" w:afterAutospacing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cloud security and identity programs from the ground up across AWS and hybrid environments, establishing foundational IAM controls, governance models, and policy-as-code frameworks aligned to NIST 800-53 and ISO 27001.</w:t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identity federation across SaaS platforms including Okta, Auth0, and application providers, resolving authentication failures and enabling centralized access control.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Led forensic investigations establishing chain-of-custody processes for security incidents, including recovery of stolen intellectual property that established cloud forensics protocols adopted as industry practice.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Delivered AWS security architecture including identity design, access enforcement, and continuous validation across IaaS, PaaS, and serverless deployments.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Scaled vulnerability management to an environment exceeding 15,000 assets across AWS and Azure, with prioritization by exploitability and business impact using Nessus-based assessments.</w:t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Optimized Entra ID Connect sync logic and hybrid sync rules, normalizing attributes and UPN conventions to keep identity data consistent across cloud and on-premises environments.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Administered BeyondTrust Password Safe with secret rotation and vault access workflows, eliminating credential sprawl through JIT tied to approved change management processes.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Partnered with SOC teams during active incidents supporting containment, investigation, and remediation efforts including analysis of token misuse and privileged session activity.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before="0" w:lineRule="auto"/>
        <w:rPr>
          <w:rFonts w:ascii="Calibri" w:cs="Calibri" w:eastAsia="Calibri" w:hAnsi="Calibri"/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NIST 800-53 · ISO 27001 · AWS · Azure · Nessus · Ping Identity · Okta · Auth0 · BeyondTrust · Entra ID · Splunk · Digital Forensics</w:t>
      </w:r>
    </w:p>
    <w:p w:rsidR="00000000" w:rsidDel="00000000" w:rsidP="00000000" w:rsidRDefault="00000000" w:rsidRPr="00000000" w14:paraId="0000007F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0" w:before="12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Systems Administrator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uBreakiFix</w:t>
      </w:r>
      <w:r w:rsidDel="00000000" w:rsidR="00000000" w:rsidRPr="00000000">
        <w:rPr>
          <w:rFonts w:ascii="Calibri" w:cs="Calibri" w:eastAsia="Calibri" w:hAnsi="Calibri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9ca3af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ab/>
        <w:tab/>
        <w:tab/>
        <w:tab/>
        <w:tab/>
        <w:tab/>
        <w:tab/>
        <w:tab/>
        <w:t xml:space="preserve"> 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ab/>
        <w:tab/>
        <w:tab/>
        <w:t xml:space="preserve">            2009 – 2011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Delivered first-level support for hardware, software, and network issues via phone, email, and in-person. 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Assessed and prioritized tickets based on impact and urgency to meet SLA targets.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Maintained high customer satisfaction through timely support and detailed documentation of service desk activities.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60" w:before="40" w:lineRule="auto"/>
        <w:rPr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6b7280"/>
          <w:sz w:val="24"/>
          <w:szCs w:val="24"/>
          <w:rtl w:val="0"/>
        </w:rPr>
        <w:t xml:space="preserve">Skills: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Technical Support · Incident Management · Customer Service · Hardware Repair · System 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60" w:before="40" w:lineRule="auto"/>
        <w:rPr>
          <w:i w:val="1"/>
          <w:iCs w:val="1"/>
          <w:color w:val="6b728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bottom w:color="d1d5db" w:space="1" w:sz="6" w:val="single"/>
        </w:pBdr>
        <w:spacing w:after="40" w:before="16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SELECT CONSULTING ENGAGEMENTS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80" w:before="0" w:lineRule="auto"/>
        <w:rPr>
          <w:i w:val="1"/>
          <w:iCs w:val="1"/>
          <w:color w:val="6b728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4"/>
          <w:szCs w:val="24"/>
          <w:rtl w:val="0"/>
        </w:rPr>
        <w:t xml:space="preserve">Short-term specialized implementations demonstrating rapid problem-solving across diverse industries.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80" w:before="0" w:lineRule="auto"/>
        <w:rPr>
          <w:i w:val="1"/>
          <w:iCs w:val="1"/>
          <w:color w:val="6b7280"/>
          <w:sz w:val="6"/>
          <w:szCs w:val="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0" w:before="10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Nuclear Energy Cloud IAM Transformation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tabs>
          <w:tab w:val="right" w:leader="none" w:pos="9026"/>
        </w:tabs>
        <w:spacing w:after="40" w:before="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Westinghouse Electric Company </w:t>
        <w:tab/>
        <w:tab/>
        <w:t xml:space="preserve">            </w:t>
      </w:r>
      <w:r w:rsidDel="00000000" w:rsidR="00000000" w:rsidRPr="00000000">
        <w:rPr>
          <w:rFonts w:ascii="Calibri" w:cs="Calibri" w:eastAsia="Calibri" w:hAnsi="Calibri"/>
          <w:color w:val="6b7280"/>
          <w:sz w:val="24"/>
          <w:szCs w:val="24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and implemented federated identity architecture enabling secure nuclear data processing in cloud environments.</w:t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MFA enforcement using Azure AD aligned to nuclear industry security requirements.</w:t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Implemented Conditional Access policies and just-in-time access via Privileged Identity Management for administrator accounts.</w:t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Executed security testing protocols supporting regulatory compliance validation.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0" w:before="10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Municipal Identity Threat Protection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tabs>
          <w:tab w:val="right" w:leader="none" w:pos="9026"/>
        </w:tabs>
        <w:spacing w:after="40" w:before="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City of Chesapeake, Virginia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f766e"/>
          <w:sz w:val="24"/>
          <w:szCs w:val="24"/>
          <w:rtl w:val="0"/>
        </w:rPr>
        <w:t xml:space="preserve"> </w:t>
        <w:tab/>
        <w:tab/>
        <w:t xml:space="preserve">            </w:t>
      </w:r>
      <w:r w:rsidDel="00000000" w:rsidR="00000000" w:rsidRPr="00000000">
        <w:rPr>
          <w:rFonts w:ascii="Calibri" w:cs="Calibri" w:eastAsia="Calibri" w:hAnsi="Calibri"/>
          <w:color w:val="6b7280"/>
          <w:sz w:val="24"/>
          <w:szCs w:val="24"/>
          <w:rtl w:val="0"/>
        </w:rPr>
        <w:t xml:space="preserve">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Integrated CrowdStrike Falcon with identity systems to monitor authentication activity in real time.</w:t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Implemented Active Directory tiered administrative model for privileged access control.</w:t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spacing w:after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RBAC framework for critical municipal systems balancing security and operational continuity.</w:t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spacing w:after="24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Delivered identity threat detection training using real-world attack scenarios.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0" w:before="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Federal ICAM Compliance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tabs>
          <w:tab w:val="right" w:leader="none" w:pos="9026"/>
        </w:tabs>
        <w:spacing w:after="40" w:before="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Department of Veterans Affair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s </w:t>
        <w:tab/>
        <w:tab/>
        <w:t xml:space="preserve">            </w:t>
      </w:r>
      <w:r w:rsidDel="00000000" w:rsidR="00000000" w:rsidRPr="00000000">
        <w:rPr>
          <w:rFonts w:ascii="Calibri" w:cs="Calibri" w:eastAsia="Calibri" w:hAnsi="Calibri"/>
          <w:color w:val="6b7280"/>
          <w:sz w:val="24"/>
          <w:szCs w:val="24"/>
          <w:rtl w:val="0"/>
        </w:rPr>
        <w:t xml:space="preserve">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spacing w:after="0" w:afterAutospacing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Analyzed privileged accounts across federal systems using CyberArk PAM, identifying and categorizing access control gaps.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Improved PIV compliance metrics by 35 percent through structured reporting and remediation.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SailPoint and Okta integration approach, establishing foundation for streamlined identity governance.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Implemented CyberArk policies aligned to Azure Conditional Access enforcement.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24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Established centralized identity event logging using Azure Event Hub.</w:t>
      </w:r>
    </w:p>
    <w:p w:rsidR="00000000" w:rsidDel="00000000" w:rsidP="00000000" w:rsidRDefault="00000000" w:rsidRPr="00000000" w14:paraId="0000009D">
      <w:pPr>
        <w:spacing w:after="240" w:before="240" w:lineRule="auto"/>
        <w:ind w:left="360" w:firstLine="0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0" w:before="10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Enterprise Provisioning Automation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tabs>
          <w:tab w:val="right" w:leader="none" w:pos="9026"/>
        </w:tabs>
        <w:spacing w:after="40" w:before="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Lithia Motor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s </w:t>
        <w:tab/>
        <w:tab/>
        <w:t xml:space="preserve">            </w:t>
      </w:r>
      <w:r w:rsidDel="00000000" w:rsidR="00000000" w:rsidRPr="00000000">
        <w:rPr>
          <w:rFonts w:ascii="Calibri" w:cs="Calibri" w:eastAsia="Calibri" w:hAnsi="Calibri"/>
          <w:color w:val="6b7280"/>
          <w:sz w:val="24"/>
          <w:szCs w:val="24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0" w:afterAutospacing="0" w:before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Developed PowerShell scripts provisioning 15,000 user accounts, reducing processing time by 60 percent.</w:t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Azure Log Analytics workspaces monitoring critical provisioning workflows with real-time visibility.</w:t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Standardized provisioning processes across US and UK IT teams.</w:t>
      </w:r>
    </w:p>
    <w:p w:rsidR="00000000" w:rsidDel="00000000" w:rsidP="00000000" w:rsidRDefault="00000000" w:rsidRPr="00000000" w14:paraId="000000A3">
      <w:pPr>
        <w:numPr>
          <w:ilvl w:val="0"/>
          <w:numId w:val="2"/>
        </w:numPr>
        <w:spacing w:after="0" w:afterAutospacing="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Remediated legacy provisioning technical debt and enforced Defender EDR policies.</w:t>
      </w:r>
    </w:p>
    <w:p w:rsidR="00000000" w:rsidDel="00000000" w:rsidP="00000000" w:rsidRDefault="00000000" w:rsidRPr="00000000" w14:paraId="000000A4">
      <w:pPr>
        <w:numPr>
          <w:ilvl w:val="0"/>
          <w:numId w:val="2"/>
        </w:numPr>
        <w:spacing w:after="240" w:before="0" w:beforeAutospacing="0" w:lineRule="auto"/>
        <w:ind w:left="360" w:hanging="20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compliance reporting using KQL queries against Azure Sentinel data.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0" w:before="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Retail Authentication Directory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tabs>
          <w:tab w:val="right" w:leader="none" w:pos="9026"/>
        </w:tabs>
        <w:spacing w:after="40" w:before="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Lands' End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f766e"/>
          <w:sz w:val="24"/>
          <w:szCs w:val="24"/>
          <w:rtl w:val="0"/>
        </w:rPr>
        <w:t xml:space="preserve"> </w:t>
        <w:tab/>
        <w:tab/>
        <w:t xml:space="preserve">            </w:t>
      </w:r>
      <w:r w:rsidDel="00000000" w:rsidR="00000000" w:rsidRPr="00000000">
        <w:rPr>
          <w:rFonts w:ascii="Calibri" w:cs="Calibri" w:eastAsia="Calibri" w:hAnsi="Calibri"/>
          <w:color w:val="6b7280"/>
          <w:sz w:val="24"/>
          <w:szCs w:val="24"/>
          <w:rtl w:val="0"/>
        </w:rPr>
        <w:t xml:space="preserve">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Designed authentication directory with selective attribute filtering for secure external partner access.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Built PingFederate authentication policies with MFA balancing usability and security requirements.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Implemented OpenID Connect for customer-facing applications.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Created ServiceNow-integrated troubleshooting tools for helpdesk teams, reducing resolution time for common issues.</w:t>
      </w:r>
    </w:p>
    <w:p w:rsidR="00000000" w:rsidDel="00000000" w:rsidP="00000000" w:rsidRDefault="00000000" w:rsidRPr="00000000" w14:paraId="000000AB">
      <w:pPr>
        <w:spacing w:after="30" w:lineRule="auto"/>
        <w:ind w:left="360" w:firstLine="0"/>
        <w:rPr>
          <w:color w:val="000000"/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0" w:before="0" w:lineRule="auto"/>
        <w:rPr>
          <w:sz w:val="24"/>
          <w:szCs w:val="24"/>
        </w:rPr>
      </w:pPr>
      <w:r w:rsidDel="00000000" w:rsidR="00000000" w:rsidRPr="00000000">
        <w:rPr>
          <w:color w:val="0f766e"/>
          <w:sz w:val="24"/>
          <w:szCs w:val="24"/>
          <w:rtl w:val="0"/>
        </w:rPr>
        <w:t xml:space="preserve">Enterprise-Wide Zero Trust Implementation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tabs>
          <w:tab w:val="right" w:leader="none" w:pos="9026"/>
        </w:tabs>
        <w:spacing w:after="40" w:before="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DHS / US Secret Service </w:t>
        <w:tab/>
        <w:tab/>
        <w:t xml:space="preserve">            </w:t>
      </w:r>
      <w:r w:rsidDel="00000000" w:rsidR="00000000" w:rsidRPr="00000000">
        <w:rPr>
          <w:rFonts w:ascii="Calibri" w:cs="Calibri" w:eastAsia="Calibri" w:hAnsi="Calibri"/>
          <w:color w:val="6b7280"/>
          <w:sz w:val="24"/>
          <w:szCs w:val="24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Led Zero Trust implementation across more than 200 mission-critical applications with micro-segmentation and continuous verification.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Reduced lateral movement risk by 80 percent while cutting incident response time by 60 percent.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Completed 3 months ahead of schedule, establishing a new security baseline for federal systems.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200"/>
        <w:jc w:val="left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Integrated CyberArk, Fortinet, and identity governance frameworks aligned to NIST 800-53.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360" w:right="0" w:firstLine="0"/>
        <w:jc w:val="left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Bdr>
          <w:bottom w:color="d1d5db" w:space="1" w:sz="6" w:val="single"/>
        </w:pBdr>
        <w:spacing w:after="40" w:before="16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CERTIFICATIONS &amp;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" w:before="8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360" w:right="0" w:hanging="200"/>
        <w:jc w:val="lef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AZ-900 – Microsoft Azure Fundamentals  |  Microsoft  |  In Progress 2026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360" w:right="0" w:hanging="200"/>
        <w:jc w:val="lef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Cybersecurity Essentials  |  Cisco  |  2021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360" w:right="0" w:hanging="200"/>
        <w:jc w:val="lef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IBM Cloud Essentials  |  IBM  |  2021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360" w:right="0" w:hanging="200"/>
        <w:jc w:val="lef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Network Administration  |  Reynolds College  | 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" w:before="80" w:lineRule="auto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a1a1a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360" w:right="0" w:hanging="200"/>
        <w:jc w:val="lef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Bachelor of Science in Cybersecurity  |  University of Richmond  |  In Progress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0" w:before="0" w:line="240" w:lineRule="auto"/>
        <w:ind w:left="360" w:right="0" w:hanging="200"/>
        <w:jc w:val="left"/>
        <w:rPr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a1a1a"/>
          <w:sz w:val="24"/>
          <w:szCs w:val="24"/>
          <w:u w:val="none"/>
          <w:shd w:fill="auto" w:val="clear"/>
          <w:vertAlign w:val="baseline"/>
          <w:rtl w:val="0"/>
        </w:rPr>
        <w:t xml:space="preserve">Associate of Applied Science in Information Systems  |  Reynolds College  |  Completed</w:t>
      </w:r>
    </w:p>
    <w:sectPr>
      <w:headerReference r:id="rId7" w:type="default"/>
      <w:pgSz w:h="15840" w:w="12240" w:orient="portrait"/>
      <w:pgMar w:bottom="720" w:top="720" w:left="864" w:right="86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360" w:hanging="20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a1a1a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a1a1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E1J8mRWVlmmm1K17cQw3PgG/Hw==">CgMxLjA4AHIhMWgwYTY5S3dYVEhkOTFWNW8zSE9iWVNTTkNQemZpbzlN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