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71E3"/>
          <w:spacing w:val="40"/>
          <w:sz w:val="16"/>
          <w:szCs w:val="16"/>
        </w:rPr>
        <w:t xml:space="preserve">BRAND DESIGN GUIDELINES · V1.0</w:t>
      </w:r>
    </w:p>
    <w:p>
      <w:pPr>
        <w:spacing w:after="240"/>
      </w:pPr>
      <w:r>
        <w:rPr>
          <w:rFonts w:ascii="Arial" w:cs="Arial" w:eastAsia="Arial" w:hAnsi="Arial"/>
          <w:b/>
          <w:bCs/>
          <w:color w:val="1D1D1F"/>
          <w:sz w:val="96"/>
          <w:szCs w:val="96"/>
        </w:rPr>
        <w:t xml:space="preserve">Velo Working</w:t>
      </w:r>
    </w:p>
    <w:p>
      <w:pPr>
        <w:spacing w:after="480"/>
      </w:pPr>
      <w:r>
        <w:rPr>
          <w:rFonts w:ascii="Arial" w:cs="Arial" w:eastAsia="Arial" w:hAnsi="Arial"/>
          <w:color w:val="1D1D1F"/>
          <w:sz w:val="40"/>
          <w:szCs w:val="40"/>
        </w:rPr>
        <w:t xml:space="preserve">Own the system that runs your </w:t>
      </w:r>
      <w:r>
        <w:rPr>
          <w:rFonts w:ascii="Arial" w:cs="Arial" w:eastAsia="Arial" w:hAnsi="Arial"/>
          <w:i/>
          <w:iCs/>
          <w:color w:val="0071E3"/>
          <w:sz w:val="40"/>
          <w:szCs w:val="40"/>
        </w:rPr>
        <w:t xml:space="preserve">business.</w:t>
      </w:r>
    </w:p>
    <w:p>
      <w:pPr>
        <w:spacing w:after="200" w:line="320"/>
      </w:pPr>
      <w:r>
        <w:rPr>
          <w:rFonts w:ascii="Arial" w:cs="Arial" w:eastAsia="Arial" w:hAnsi="Arial"/>
          <w:color w:val="6E6E73"/>
          <w:sz w:val="24"/>
          <w:szCs w:val="24"/>
        </w:rPr>
        <w:t xml:space="preserve">A distilled visual language for the Velo Working brand — designed to be imported into Canva's Brand Kit so every asset, deck, and document carries the same Apple-inspired clarity as veloworking.com.</w:t>
      </w:r>
    </w:p>
    <w:p>
      <w:pPr>
        <w:spacing w:after="400"/>
      </w:pPr>
    </w:p>
    <w:p>
      <w:pPr>
        <w:pBdr>
          <w:bottom w:val="single" w:color="D2D2D7" w:sz="6" w:space="1"/>
        </w:pBdr>
        <w:spacing w:after="240" w:before="120"/>
      </w:pPr>
    </w:p>
    <w:p>
      <w:pPr>
        <w:tabs>
          <w:tab w:val="right" w:pos="9000"/>
        </w:tabs>
      </w:pPr>
      <w:r>
        <w:rPr>
          <w:rFonts w:ascii="Arial" w:cs="Arial" w:eastAsia="Arial" w:hAnsi="Arial"/>
          <w:b/>
          <w:bCs/>
          <w:color w:val="86868B"/>
          <w:spacing w:val="40"/>
          <w:sz w:val="16"/>
          <w:szCs w:val="16"/>
        </w:rPr>
        <w:t xml:space="preserve">PREPARED FOR</w:t>
      </w:r>
      <w:r>
        <w:rPr>
          <w:rFonts w:ascii="Arial" w:cs="Arial" w:eastAsia="Arial" w:hAnsi="Arial"/>
          <w:b/>
          <w:bCs/>
          <w:color w:val="86868B"/>
          <w:spacing w:val="40"/>
          <w:sz w:val="16"/>
          <w:szCs w:val="16"/>
        </w:rPr>
        <w:t xml:space="preserve">	ISSUED</w:t>
      </w:r>
    </w:p>
    <w:p>
      <w:pPr>
        <w:tabs>
          <w:tab w:val="right" w:pos="9000"/>
        </w:tabs>
        <w:spacing w:after="12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Velo Working Pte. Ltd. · Canva Brand Kit</w:t>
      </w:r>
      <w:r>
        <w:rPr>
          <w:rFonts w:ascii="Arial" w:cs="Arial" w:eastAsia="Arial" w:hAnsi="Arial"/>
          <w:color w:val="1D1D1F"/>
          <w:sz w:val="22"/>
          <w:szCs w:val="22"/>
        </w:rPr>
        <w:t xml:space="preserve">	April 2026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71E3"/>
          <w:spacing w:val="40"/>
          <w:sz w:val="16"/>
          <w:szCs w:val="16"/>
        </w:rPr>
        <w:t xml:space="preserve">01 · FOUNDATION</w:t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D1D1F"/>
          <w:sz w:val="56"/>
          <w:szCs w:val="56"/>
        </w:rPr>
        <w:t xml:space="preserve">Brand essence</w:t>
      </w:r>
    </w:p>
    <w:p>
      <w:pPr>
        <w:spacing w:after="200" w:line="320"/>
      </w:pPr>
      <w:r>
        <w:rPr>
          <w:rFonts w:ascii="Arial" w:cs="Arial" w:eastAsia="Arial" w:hAnsi="Arial"/>
          <w:color w:val="6E6E73"/>
          <w:sz w:val="24"/>
          <w:szCs w:val="24"/>
        </w:rPr>
        <w:t xml:space="preserve">Three lines that anchor every design decision. If a layout, color, or word doesn't serve one of these — it doesn't belong on a Velo Working asset.</w:t>
      </w:r>
    </w:p>
    <w:p>
      <w:pPr>
        <w:spacing w:after="120"/>
      </w:pPr>
    </w:p>
    <w:p>
      <w:pPr>
        <w:pStyle w:val="Heading3"/>
        <w:spacing w:after="12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Tagline</w:t>
      </w:r>
    </w:p>
    <w:p>
      <w:pPr>
        <w:spacing w:after="12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Built for the ones still standing.</w:t>
      </w:r>
    </w:p>
    <w:p>
      <w:pPr>
        <w:pStyle w:val="Heading3"/>
        <w:spacing w:after="12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Positioning line</w:t>
      </w:r>
    </w:p>
    <w:p>
      <w:pPr>
        <w:spacing w:after="12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Engineered with Jodoo. Owned by your team.</w:t>
      </w:r>
    </w:p>
    <w:p>
      <w:pPr>
        <w:pStyle w:val="Heading3"/>
        <w:spacing w:after="12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Voice</w:t>
      </w:r>
    </w:p>
    <w:p>
      <w:pPr>
        <w:spacing w:after="12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Quietly relentless. Bluntly honest. We don't use exclamation marks, hype words, or stock-photo metaphors. We say what is true and let it land.</w:t>
      </w:r>
    </w:p>
    <w:p>
      <w:pPr>
        <w:pStyle w:val="Heading3"/>
        <w:spacing w:after="12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Visual posture</w:t>
      </w:r>
    </w:p>
    <w:p>
      <w:pPr>
        <w:spacing w:after="12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Apple-inspired. Off-white surfaces, near-black ink, generous whitespace, oversized headlines. Color is a structural accent — not decoration. Every screen, slide, and document feels calm before it feels designed.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71E3"/>
          <w:spacing w:val="40"/>
          <w:sz w:val="16"/>
          <w:szCs w:val="16"/>
        </w:rPr>
        <w:t xml:space="preserve">02 · FOUNDATION</w:t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D1D1F"/>
          <w:sz w:val="56"/>
          <w:szCs w:val="56"/>
        </w:rPr>
        <w:t xml:space="preserve">Color system</w:t>
      </w:r>
    </w:p>
    <w:p>
      <w:pPr>
        <w:spacing w:after="200" w:line="320"/>
      </w:pPr>
      <w:r>
        <w:rPr>
          <w:rFonts w:ascii="Arial" w:cs="Arial" w:eastAsia="Arial" w:hAnsi="Arial"/>
          <w:color w:val="6E6E73"/>
          <w:sz w:val="24"/>
          <w:szCs w:val="24"/>
        </w:rPr>
        <w:t xml:space="preserve">Eleven defined values. Most assets use four. The off-white background and near-black ink do the heavy lifting; blue is reserved for moments that genuinely matter.</w:t>
      </w:r>
    </w:p>
    <w:p>
      <w:pPr>
        <w:spacing w:after="120"/>
      </w:pPr>
    </w:p>
    <w:p>
      <w:pPr>
        <w:pStyle w:val="Heading3"/>
        <w:spacing w:after="12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Primary palette — paste these into Canva first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1D1D1F" w:sz="4"/>
              <w:left w:val="single" w:color="1D1D1F" w:sz="4"/>
              <w:bottom w:val="single" w:color="1D1D1F" w:sz="4"/>
              <w:right w:val="single" w:color="1D1D1F" w:sz="4"/>
            </w:tcBorders>
            <w:shd w:fill="1D1D1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360" w:before="3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1D1F"/>
                <w:sz w:val="22"/>
                <w:szCs w:val="22"/>
              </w:rPr>
              <w:t xml:space="preserve">Ink</w:t>
            </w:r>
          </w:p>
          <w:p>
            <w:r>
              <w:rPr>
                <w:rFonts w:ascii="Arial" w:cs="Arial" w:eastAsia="Arial" w:hAnsi="Arial"/>
                <w:color w:val="6E6E73"/>
                <w:spacing w:val="20"/>
                <w:sz w:val="18"/>
                <w:szCs w:val="18"/>
              </w:rPr>
              <w:t xml:space="preserve">#1D1D1F</w:t>
            </w:r>
          </w:p>
        </w:tc>
        <w:tc>
          <w:tcPr>
            <w:tcW w:type="dxa" w:w="51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6E6E73"/>
                <w:sz w:val="20"/>
                <w:szCs w:val="20"/>
              </w:rPr>
              <w:t xml:space="preserve">Primary text and headlines. Use on light surfaces. This is the 95% color.</w:t>
            </w:r>
          </w:p>
        </w:tc>
      </w:tr>
      <w:tr>
        <w:tc>
          <w:tcPr>
            <w:tcW w:type="dxa" w:w="1800"/>
            <w:tcBorders>
              <w:top w:val="single" w:color="FBFBFD" w:sz="4"/>
              <w:left w:val="single" w:color="FBFBFD" w:sz="4"/>
              <w:bottom w:val="single" w:color="FBFBFD" w:sz="4"/>
              <w:right w:val="single" w:color="FBFBFD" w:sz="4"/>
            </w:tcBorders>
            <w:shd w:fill="FBFBFD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360" w:before="3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1D1F"/>
                <w:sz w:val="22"/>
                <w:szCs w:val="22"/>
              </w:rPr>
              <w:t xml:space="preserve">Paper</w:t>
            </w:r>
          </w:p>
          <w:p>
            <w:r>
              <w:rPr>
                <w:rFonts w:ascii="Arial" w:cs="Arial" w:eastAsia="Arial" w:hAnsi="Arial"/>
                <w:color w:val="6E6E73"/>
                <w:spacing w:val="20"/>
                <w:sz w:val="18"/>
                <w:szCs w:val="18"/>
              </w:rPr>
              <w:t xml:space="preserve">#FBFBFD</w:t>
            </w:r>
          </w:p>
        </w:tc>
        <w:tc>
          <w:tcPr>
            <w:tcW w:type="dxa" w:w="51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6E6E73"/>
                <w:sz w:val="20"/>
                <w:szCs w:val="20"/>
              </w:rPr>
              <w:t xml:space="preserve">Page background. Slightly off-white — never pure #FFFFFF for full pages.</w:t>
            </w:r>
          </w:p>
        </w:tc>
      </w:tr>
      <w:tr>
        <w:tc>
          <w:tcPr>
            <w:tcW w:type="dxa" w:w="1800"/>
            <w:tcBorders>
              <w:top w:val="single" w:color="0071E3" w:sz="4"/>
              <w:left w:val="single" w:color="0071E3" w:sz="4"/>
              <w:bottom w:val="single" w:color="0071E3" w:sz="4"/>
              <w:right w:val="single" w:color="0071E3" w:sz="4"/>
            </w:tcBorders>
            <w:shd w:fill="0071E3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360" w:before="3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1D1F"/>
                <w:sz w:val="22"/>
                <w:szCs w:val="22"/>
              </w:rPr>
              <w:t xml:space="preserve">Link Blue</w:t>
            </w:r>
          </w:p>
          <w:p>
            <w:r>
              <w:rPr>
                <w:rFonts w:ascii="Arial" w:cs="Arial" w:eastAsia="Arial" w:hAnsi="Arial"/>
                <w:color w:val="6E6E73"/>
                <w:spacing w:val="20"/>
                <w:sz w:val="18"/>
                <w:szCs w:val="18"/>
              </w:rPr>
              <w:t xml:space="preserve">#0071E3</w:t>
            </w:r>
          </w:p>
        </w:tc>
        <w:tc>
          <w:tcPr>
            <w:tcW w:type="dxa" w:w="51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6E6E73"/>
                <w:sz w:val="20"/>
                <w:szCs w:val="20"/>
              </w:rPr>
              <w:t xml:space="preserve">The single accent color. Eyebrows, primary CTA, key italic words. Use sparingly.</w:t>
            </w:r>
          </w:p>
        </w:tc>
      </w:tr>
      <w:tr>
        <w:tc>
          <w:tcPr>
            <w:tcW w:type="dxa" w:w="1800"/>
            <w:tcBorders>
              <w:top w:val="single" w:color="1317E4" w:sz="4"/>
              <w:left w:val="single" w:color="1317E4" w:sz="4"/>
              <w:bottom w:val="single" w:color="1317E4" w:sz="4"/>
              <w:right w:val="single" w:color="1317E4" w:sz="4"/>
            </w:tcBorders>
            <w:shd w:fill="1317E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360" w:before="3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1D1F"/>
                <w:sz w:val="22"/>
                <w:szCs w:val="22"/>
              </w:rPr>
              <w:t xml:space="preserve">Velo Blue</w:t>
            </w:r>
          </w:p>
          <w:p>
            <w:r>
              <w:rPr>
                <w:rFonts w:ascii="Arial" w:cs="Arial" w:eastAsia="Arial" w:hAnsi="Arial"/>
                <w:color w:val="6E6E73"/>
                <w:spacing w:val="20"/>
                <w:sz w:val="18"/>
                <w:szCs w:val="18"/>
              </w:rPr>
              <w:t xml:space="preserve">#1317E4</w:t>
            </w:r>
          </w:p>
        </w:tc>
        <w:tc>
          <w:tcPr>
            <w:tcW w:type="dxa" w:w="51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6E6E73"/>
                <w:sz w:val="20"/>
                <w:szCs w:val="20"/>
              </w:rPr>
              <w:t xml:space="preserve">Reserved brand blue. Use only inside the Jodoo partner gradient and in legacy contexts.</w:t>
            </w:r>
          </w:p>
        </w:tc>
      </w:tr>
    </w:tbl>
    <w:p>
      <w:pPr>
        <w:spacing w:after="240"/>
      </w:pPr>
    </w:p>
    <w:p>
      <w:pPr>
        <w:pStyle w:val="Heading3"/>
        <w:spacing w:after="12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Secondary palette — supporting roles only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360" w:before="3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1D1F"/>
                <w:sz w:val="22"/>
                <w:szCs w:val="22"/>
              </w:rPr>
              <w:t xml:space="preserve">Surface</w:t>
            </w:r>
          </w:p>
          <w:p>
            <w:r>
              <w:rPr>
                <w:rFonts w:ascii="Arial" w:cs="Arial" w:eastAsia="Arial" w:hAnsi="Arial"/>
                <w:color w:val="6E6E73"/>
                <w:spacing w:val="20"/>
                <w:sz w:val="18"/>
                <w:szCs w:val="18"/>
              </w:rPr>
              <w:t xml:space="preserve">#FFFFFF</w:t>
            </w:r>
          </w:p>
        </w:tc>
        <w:tc>
          <w:tcPr>
            <w:tcW w:type="dxa" w:w="51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6E6E73"/>
                <w:sz w:val="20"/>
                <w:szCs w:val="20"/>
              </w:rPr>
              <w:t xml:space="preserve">White tile background. Use for cards on the off-white page.</w:t>
            </w:r>
          </w:p>
        </w:tc>
      </w:tr>
      <w:tr>
        <w:tc>
          <w:tcPr>
            <w:tcW w:type="dxa" w:w="1800"/>
            <w:tcBorders>
              <w:top w:val="single" w:color="F5F5F7" w:sz="4"/>
              <w:left w:val="single" w:color="F5F5F7" w:sz="4"/>
              <w:bottom w:val="single" w:color="F5F5F7" w:sz="4"/>
              <w:right w:val="single" w:color="F5F5F7" w:sz="4"/>
            </w:tcBorders>
            <w:shd w:fill="F5F5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360" w:before="3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1D1F"/>
                <w:sz w:val="22"/>
                <w:szCs w:val="22"/>
              </w:rPr>
              <w:t xml:space="preserve">Surface 2</w:t>
            </w:r>
          </w:p>
          <w:p>
            <w:r>
              <w:rPr>
                <w:rFonts w:ascii="Arial" w:cs="Arial" w:eastAsia="Arial" w:hAnsi="Arial"/>
                <w:color w:val="6E6E73"/>
                <w:spacing w:val="20"/>
                <w:sz w:val="18"/>
                <w:szCs w:val="18"/>
              </w:rPr>
              <w:t xml:space="preserve">#F5F5F7</w:t>
            </w:r>
          </w:p>
        </w:tc>
        <w:tc>
          <w:tcPr>
            <w:tcW w:type="dxa" w:w="51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6E6E73"/>
                <w:sz w:val="20"/>
                <w:szCs w:val="20"/>
              </w:rPr>
              <w:t xml:space="preserve">Light gray tile background. Alternates with Surface for rhythm.</w:t>
            </w:r>
          </w:p>
        </w:tc>
      </w:tr>
      <w:tr>
        <w:tc>
          <w:tcPr>
            <w:tcW w:type="dxa" w:w="1800"/>
            <w:tcBorders>
              <w:top w:val="single" w:color="6E6E73" w:sz="4"/>
              <w:left w:val="single" w:color="6E6E73" w:sz="4"/>
              <w:bottom w:val="single" w:color="6E6E73" w:sz="4"/>
              <w:right w:val="single" w:color="6E6E73" w:sz="4"/>
            </w:tcBorders>
            <w:shd w:fill="6E6E73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360" w:before="3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1D1F"/>
                <w:sz w:val="22"/>
                <w:szCs w:val="22"/>
              </w:rPr>
              <w:t xml:space="preserve">Ink 2</w:t>
            </w:r>
          </w:p>
          <w:p>
            <w:r>
              <w:rPr>
                <w:rFonts w:ascii="Arial" w:cs="Arial" w:eastAsia="Arial" w:hAnsi="Arial"/>
                <w:color w:val="6E6E73"/>
                <w:spacing w:val="20"/>
                <w:sz w:val="18"/>
                <w:szCs w:val="18"/>
              </w:rPr>
              <w:t xml:space="preserve">#6E6E73</w:t>
            </w:r>
          </w:p>
        </w:tc>
        <w:tc>
          <w:tcPr>
            <w:tcW w:type="dxa" w:w="51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6E6E73"/>
                <w:sz w:val="20"/>
                <w:szCs w:val="20"/>
              </w:rPr>
              <w:t xml:space="preserve">Secondary text. Sub-paragraphs, captions, body inside cards.</w:t>
            </w:r>
          </w:p>
        </w:tc>
      </w:tr>
      <w:tr>
        <w:tc>
          <w:tcPr>
            <w:tcW w:type="dxa" w:w="1800"/>
            <w:tcBorders>
              <w:top w:val="single" w:color="86868B" w:sz="4"/>
              <w:left w:val="single" w:color="86868B" w:sz="4"/>
              <w:bottom w:val="single" w:color="86868B" w:sz="4"/>
              <w:right w:val="single" w:color="86868B" w:sz="4"/>
            </w:tcBorders>
            <w:shd w:fill="86868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360" w:before="3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1D1F"/>
                <w:sz w:val="22"/>
                <w:szCs w:val="22"/>
              </w:rPr>
              <w:t xml:space="preserve">Ink 3</w:t>
            </w:r>
          </w:p>
          <w:p>
            <w:r>
              <w:rPr>
                <w:rFonts w:ascii="Arial" w:cs="Arial" w:eastAsia="Arial" w:hAnsi="Arial"/>
                <w:color w:val="6E6E73"/>
                <w:spacing w:val="20"/>
                <w:sz w:val="18"/>
                <w:szCs w:val="18"/>
              </w:rPr>
              <w:t xml:space="preserve">#86868B</w:t>
            </w:r>
          </w:p>
        </w:tc>
        <w:tc>
          <w:tcPr>
            <w:tcW w:type="dxa" w:w="51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6E6E73"/>
                <w:sz w:val="20"/>
                <w:szCs w:val="20"/>
              </w:rPr>
              <w:t xml:space="preserve">Tertiary text. Footer fine print, metadata, fine print only.</w:t>
            </w:r>
          </w:p>
        </w:tc>
      </w:tr>
      <w:tr>
        <w:tc>
          <w:tcPr>
            <w:tcW w:type="dxa" w:w="18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D2D2D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360" w:before="3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1D1F"/>
                <w:sz w:val="22"/>
                <w:szCs w:val="22"/>
              </w:rPr>
              <w:t xml:space="preserve">Rule</w:t>
            </w:r>
          </w:p>
          <w:p>
            <w:r>
              <w:rPr>
                <w:rFonts w:ascii="Arial" w:cs="Arial" w:eastAsia="Arial" w:hAnsi="Arial"/>
                <w:color w:val="6E6E73"/>
                <w:spacing w:val="20"/>
                <w:sz w:val="18"/>
                <w:szCs w:val="18"/>
              </w:rPr>
              <w:t xml:space="preserve">#D2D2D7</w:t>
            </w:r>
          </w:p>
        </w:tc>
        <w:tc>
          <w:tcPr>
            <w:tcW w:type="dxa" w:w="51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6E6E73"/>
                <w:sz w:val="20"/>
                <w:szCs w:val="20"/>
              </w:rPr>
              <w:t xml:space="preserve">Hairline dividers between rows and sections. Never thicker than 1px.</w:t>
            </w:r>
          </w:p>
        </w:tc>
      </w:tr>
      <w:tr>
        <w:tc>
          <w:tcPr>
            <w:tcW w:type="dxa" w:w="1800"/>
            <w:tcBorders>
              <w:top w:val="single" w:color="0B0B0D" w:sz="4"/>
              <w:left w:val="single" w:color="0B0B0D" w:sz="4"/>
              <w:bottom w:val="single" w:color="0B0B0D" w:sz="4"/>
              <w:right w:val="single" w:color="0B0B0D" w:sz="4"/>
            </w:tcBorders>
            <w:shd w:fill="0B0B0D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360" w:before="3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1D1F"/>
                <w:sz w:val="22"/>
                <w:szCs w:val="22"/>
              </w:rPr>
              <w:t xml:space="preserve">Dark</w:t>
            </w:r>
          </w:p>
          <w:p>
            <w:r>
              <w:rPr>
                <w:rFonts w:ascii="Arial" w:cs="Arial" w:eastAsia="Arial" w:hAnsi="Arial"/>
                <w:color w:val="6E6E73"/>
                <w:spacing w:val="20"/>
                <w:sz w:val="18"/>
                <w:szCs w:val="18"/>
              </w:rPr>
              <w:t xml:space="preserve">#0B0B0D</w:t>
            </w:r>
          </w:p>
        </w:tc>
        <w:tc>
          <w:tcPr>
            <w:tcW w:type="dxa" w:w="51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6E6E73"/>
                <w:sz w:val="20"/>
                <w:szCs w:val="20"/>
              </w:rPr>
              <w:t xml:space="preserve">Premium dark tiles (e.g. partner hero). Pairs with white headlines.</w:t>
            </w:r>
          </w:p>
        </w:tc>
      </w:tr>
      <w:tr>
        <w:tc>
          <w:tcPr>
            <w:tcW w:type="dxa" w:w="1800"/>
            <w:tcBorders>
              <w:top w:val="single" w:color="0077ED" w:sz="4"/>
              <w:left w:val="single" w:color="0077ED" w:sz="4"/>
              <w:bottom w:val="single" w:color="0077ED" w:sz="4"/>
              <w:right w:val="single" w:color="0077ED" w:sz="4"/>
            </w:tcBorders>
            <w:shd w:fill="0077ED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360" w:before="360"/>
              <w:jc w:val="left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1D1F"/>
                <w:sz w:val="22"/>
                <w:szCs w:val="22"/>
              </w:rPr>
              <w:t xml:space="preserve">Link Hover</w:t>
            </w:r>
          </w:p>
          <w:p>
            <w:r>
              <w:rPr>
                <w:rFonts w:ascii="Arial" w:cs="Arial" w:eastAsia="Arial" w:hAnsi="Arial"/>
                <w:color w:val="6E6E73"/>
                <w:spacing w:val="20"/>
                <w:sz w:val="18"/>
                <w:szCs w:val="18"/>
              </w:rPr>
              <w:t xml:space="preserve">#0077ED</w:t>
            </w:r>
          </w:p>
        </w:tc>
        <w:tc>
          <w:tcPr>
            <w:tcW w:type="dxa" w:w="51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6E6E73"/>
                <w:sz w:val="20"/>
                <w:szCs w:val="20"/>
              </w:rPr>
              <w:t xml:space="preserve">Hover/pressed state for primary actions. Rarely used in static assets.</w:t>
            </w:r>
          </w:p>
        </w:tc>
      </w:tr>
    </w:tbl>
    <w:p>
      <w:pPr>
        <w:spacing w:after="240"/>
      </w:pPr>
    </w:p>
    <w:p>
      <w:pPr>
        <w:pStyle w:val="Heading3"/>
        <w:spacing w:after="12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How to apply color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Default a slide or page to Paper background with Ink text. Add white Surface tiles for content blocks.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Use Link Blue once or twice per asset — for the eyebrow tag at the top, and for one italicised word inside the headline. Never both more than twice.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When a moment needs gravity (cover slide, partner hero, CTA), invert: Dark background, white headline, Link Blue eyebrow.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Never put Link Blue on Velo Blue — they vibrate against each other.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71E3"/>
          <w:spacing w:val="40"/>
          <w:sz w:val="16"/>
          <w:szCs w:val="16"/>
        </w:rPr>
        <w:t xml:space="preserve">03 · FOUNDATION</w:t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D1D1F"/>
          <w:sz w:val="56"/>
          <w:szCs w:val="56"/>
        </w:rPr>
        <w:t xml:space="preserve">Typography</w:t>
      </w:r>
    </w:p>
    <w:p>
      <w:pPr>
        <w:spacing w:after="200" w:line="320"/>
      </w:pPr>
      <w:r>
        <w:rPr>
          <w:rFonts w:ascii="Arial" w:cs="Arial" w:eastAsia="Arial" w:hAnsi="Arial"/>
          <w:color w:val="6E6E73"/>
          <w:sz w:val="24"/>
          <w:szCs w:val="24"/>
        </w:rPr>
        <w:t xml:space="preserve">One typeface family. Two roles. Five sizes. The simplicity is the design.</w:t>
      </w:r>
    </w:p>
    <w:p>
      <w:pPr>
        <w:spacing w:after="120"/>
      </w:pPr>
    </w:p>
    <w:p>
      <w:pPr>
        <w:pStyle w:val="Heading3"/>
        <w:spacing w:after="12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Type pairing</w:t>
      </w:r>
    </w:p>
    <w:p>
      <w:pPr>
        <w:spacing w:after="12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Primary: SF Pro Display (Apple devices) / Inter (all other devices). For Canva, use Inter as the heading and body font — it is the closest free-licensed match to SF Pro and the system Velo Working uses online.</w:t>
      </w:r>
    </w:p>
    <w:p>
      <w:pPr>
        <w:spacing w:after="12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Fallback in print: Helvetica Neue, then Arial. Never use serif typefaces, decorative fonts, or display faces in marketing assets.</w:t>
      </w:r>
    </w:p>
    <w:p>
      <w:pPr>
        <w:spacing w:after="120"/>
      </w:pPr>
    </w:p>
    <w:p>
      <w:pPr>
        <w:pStyle w:val="Heading3"/>
        <w:spacing w:after="12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Type scale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1E3"/>
                <w:spacing w:val="40"/>
                <w:sz w:val="16"/>
                <w:szCs w:val="16"/>
              </w:rPr>
              <w:t xml:space="preserve">ROLE</w:t>
            </w:r>
          </w:p>
        </w:tc>
        <w:tc>
          <w:tcPr>
            <w:tcW w:type="dxa" w:w="3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1E3"/>
                <w:spacing w:val="40"/>
                <w:sz w:val="16"/>
                <w:szCs w:val="16"/>
              </w:rPr>
              <w:t xml:space="preserve">SIZE &amp; WEIGHT</w:t>
            </w:r>
          </w:p>
        </w:tc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1E3"/>
                <w:spacing w:val="40"/>
                <w:sz w:val="16"/>
                <w:szCs w:val="16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Display H1</w:t>
            </w:r>
          </w:p>
        </w:tc>
        <w:tc>
          <w:tcPr>
            <w:tcW w:type="dxa" w:w="3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60–80pt · Semibold (600) · letter-spacing −0.045em</w:t>
            </w:r>
          </w:p>
        </w:tc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Hero headlines only. Max one per asset.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H2 — section</w:t>
            </w:r>
          </w:p>
        </w:tc>
        <w:tc>
          <w:tcPr>
            <w:tcW w:type="dxa" w:w="3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32–56pt · Semibold (600) · letter-spacing −0.04em</w:t>
            </w:r>
          </w:p>
        </w:tc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Section openers. One italic word allowed in Link Blue.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H3 — block</w:t>
            </w:r>
          </w:p>
        </w:tc>
        <w:tc>
          <w:tcPr>
            <w:tcW w:type="dxa" w:w="3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22–32pt · Semibold (600) · letter-spacing −0.03em</w:t>
            </w:r>
          </w:p>
        </w:tc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Card titles, subsection headings.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Lead</w:t>
            </w:r>
          </w:p>
        </w:tc>
        <w:tc>
          <w:tcPr>
            <w:tcW w:type="dxa" w:w="3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19–22pt · Regular (400) · color Ink 2</w:t>
            </w:r>
          </w:p>
        </w:tc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Sub-headline supporting H1 or H2.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Body</w:t>
            </w:r>
          </w:p>
        </w:tc>
        <w:tc>
          <w:tcPr>
            <w:tcW w:type="dxa" w:w="3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17pt · Regular (400) · line-height 1.47</w:t>
            </w:r>
          </w:p>
        </w:tc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All running text. Default to Ink, drop to Ink 2 inside cards.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Eyebrow</w:t>
            </w:r>
          </w:p>
        </w:tc>
        <w:tc>
          <w:tcPr>
            <w:tcW w:type="dxa" w:w="3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14pt · Semibold (600) · UPPERCASE · color Link Blue</w:t>
            </w:r>
          </w:p>
        </w:tc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Section label sitting above the headline. Always present.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Caption</w:t>
            </w:r>
          </w:p>
        </w:tc>
        <w:tc>
          <w:tcPr>
            <w:tcW w:type="dxa" w:w="3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12–14pt · Regular (400) · color Ink 3</w:t>
            </w:r>
          </w:p>
        </w:tc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Footnotes, source attributions, fine print.</w:t>
            </w:r>
          </w:p>
        </w:tc>
      </w:tr>
    </w:tbl>
    <w:p>
      <w:pPr>
        <w:spacing w:after="240"/>
      </w:pPr>
    </w:p>
    <w:p>
      <w:pPr>
        <w:pStyle w:val="Heading3"/>
        <w:spacing w:after="12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Typography rules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Letter-spacing tightens as size increases. Headlines should feel slightly compressed; body text should not.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Use italics for one or two key words inside a headline only. Color those italic words in Link Blue. Never italicize body text.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Headlines line-break manually for rhythm — not automatically. Treat each line as a deliberate beat.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Body text never exceeds 56–64 characters per line. Long measures kill the calm.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Avoid all-caps except in eyebrows (very small) and acronyms.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71E3"/>
          <w:spacing w:val="40"/>
          <w:sz w:val="16"/>
          <w:szCs w:val="16"/>
        </w:rPr>
        <w:t xml:space="preserve">04 · SYSTEM</w:t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D1D1F"/>
          <w:sz w:val="56"/>
          <w:szCs w:val="56"/>
        </w:rPr>
        <w:t xml:space="preserve">Layout &amp; spacing</w:t>
      </w:r>
    </w:p>
    <w:p>
      <w:pPr>
        <w:spacing w:after="200" w:line="320"/>
      </w:pPr>
      <w:r>
        <w:rPr>
          <w:rFonts w:ascii="Arial" w:cs="Arial" w:eastAsia="Arial" w:hAnsi="Arial"/>
          <w:color w:val="6E6E73"/>
          <w:sz w:val="24"/>
          <w:szCs w:val="24"/>
        </w:rPr>
        <w:t xml:space="preserve">Generous whitespace is the most important design element in this brand. When in doubt, add space — never reduce it.</w:t>
      </w:r>
    </w:p>
    <w:p>
      <w:pPr>
        <w:spacing w:after="120"/>
      </w:pPr>
    </w:p>
    <w:p>
      <w:pPr>
        <w:pStyle w:val="Heading3"/>
        <w:spacing w:after="12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Grid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Max content width: 1180px on web; equivalent to ~80% of slide width on Canva presentations (16:9).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Outer gutter: 40–80px on desktop, 20px on mobile. In Canva, leave a clear ~80px margin around all content.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Tile gap: 12px between adjacent cards. Do not crowd them; do not separate them more.</w:t>
      </w:r>
    </w:p>
    <w:p>
      <w:pPr>
        <w:spacing w:after="120"/>
      </w:pPr>
    </w:p>
    <w:p>
      <w:pPr>
        <w:pStyle w:val="Heading3"/>
        <w:spacing w:after="12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Vertical rhythm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1E3"/>
                <w:spacing w:val="40"/>
                <w:sz w:val="16"/>
                <w:szCs w:val="16"/>
              </w:rPr>
              <w:t xml:space="preserve">SPACING TOKEN</w:t>
            </w:r>
          </w:p>
        </w:tc>
        <w:tc>
          <w:tcPr>
            <w:tcW w:type="dxa" w:w="63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1E3"/>
                <w:spacing w:val="40"/>
                <w:sz w:val="16"/>
                <w:szCs w:val="16"/>
              </w:rPr>
              <w:t xml:space="preserve">USE</w:t>
            </w:r>
          </w:p>
        </w:tc>
      </w:tr>
      <w:t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Section padding · 80–120px</w:t>
            </w:r>
          </w:p>
        </w:tc>
        <w:tc>
          <w:tcPr>
            <w:tcW w:type="dxa" w:w="63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Top/bottom of every section block. The breathing room between ideas.</w:t>
            </w:r>
          </w:p>
        </w:tc>
      </w:tr>
      <w:t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Heading after · 16–24px</w:t>
            </w:r>
          </w:p>
        </w:tc>
        <w:tc>
          <w:tcPr>
            <w:tcW w:type="dxa" w:w="63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Below every H1/H2 before the next paragraph or element.</w:t>
            </w:r>
          </w:p>
        </w:tc>
      </w:tr>
      <w:t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Eyebrow gap · 12px</w:t>
            </w:r>
          </w:p>
        </w:tc>
        <w:tc>
          <w:tcPr>
            <w:tcW w:type="dxa" w:w="63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Between eyebrow and headline. Tight, deliberate.</w:t>
            </w:r>
          </w:p>
        </w:tc>
      </w:tr>
      <w:t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Paragraph gap · 16px</w:t>
            </w:r>
          </w:p>
        </w:tc>
        <w:tc>
          <w:tcPr>
            <w:tcW w:type="dxa" w:w="63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Between consecutive body paragraphs.</w:t>
            </w:r>
          </w:p>
        </w:tc>
      </w:tr>
      <w:t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Card padding · 40–64px</w:t>
            </w:r>
          </w:p>
        </w:tc>
        <w:tc>
          <w:tcPr>
            <w:tcW w:type="dxa" w:w="63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Inner padding on tiles. Generous on the inside; tight gap outside.</w:t>
            </w:r>
          </w:p>
        </w:tc>
      </w:tr>
      <w:t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Button padding · 12px × 22px</w:t>
            </w:r>
          </w:p>
        </w:tc>
        <w:tc>
          <w:tcPr>
            <w:tcW w:type="dxa" w:w="63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Pill-shape CTAs. Never wider than the headline above them.</w:t>
            </w:r>
          </w:p>
        </w:tc>
      </w:tr>
    </w:tbl>
    <w:p>
      <w:pPr>
        <w:spacing w:after="240"/>
      </w:pPr>
    </w:p>
    <w:p>
      <w:pPr>
        <w:pStyle w:val="Heading3"/>
        <w:spacing w:after="12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Border radius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Tiles &amp; cards: 24px radius. Soft, not round.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Buttons: pill — fully rounded (980px / 50%).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Pills (the partner badge): same as buttons, 980px / 50%.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Never use sharp 0px corners on user-facing elements. Never use 4–8px corners — they look like Bootstrap.</w:t>
      </w:r>
    </w:p>
    <w:p>
      <w:pPr>
        <w:spacing w:after="120"/>
      </w:pPr>
    </w:p>
    <w:p>
      <w:pPr>
        <w:pStyle w:val="Heading3"/>
        <w:spacing w:after="12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Hairlines &amp; dividers</w:t>
      </w:r>
    </w:p>
    <w:p>
      <w:pPr>
        <w:spacing w:after="12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1px solid Rule color (#D2D2D7). Used between footer rows, between table rows, and to separate stacked content blocks. Never thicker. Never colored.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71E3"/>
          <w:spacing w:val="40"/>
          <w:sz w:val="16"/>
          <w:szCs w:val="16"/>
        </w:rPr>
        <w:t xml:space="preserve">05 · SYSTEM</w:t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D1D1F"/>
          <w:sz w:val="56"/>
          <w:szCs w:val="56"/>
        </w:rPr>
        <w:t xml:space="preserve">Components</w:t>
      </w:r>
    </w:p>
    <w:p>
      <w:pPr>
        <w:spacing w:after="200" w:line="320"/>
      </w:pPr>
      <w:r>
        <w:rPr>
          <w:rFonts w:ascii="Arial" w:cs="Arial" w:eastAsia="Arial" w:hAnsi="Arial"/>
          <w:color w:val="6E6E73"/>
          <w:sz w:val="24"/>
          <w:szCs w:val="24"/>
        </w:rPr>
        <w:t xml:space="preserve">Every Velo Working asset is built from the same five primitives. Recreate them once in Canva as elements, then reuse.</w:t>
      </w:r>
    </w:p>
    <w:p>
      <w:pPr>
        <w:spacing w:after="120"/>
      </w:pPr>
    </w:p>
    <w:p>
      <w:pPr>
        <w:pStyle w:val="Heading3"/>
        <w:spacing w:after="12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Eyebrow</w:t>
      </w:r>
    </w:p>
    <w:p>
      <w:pPr>
        <w:spacing w:after="12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14pt Semibold uppercase, Link Blue, letter-spacing +0.04em. Sits above every section headline. It is a wayfinding label, not decoration — it tells the reader where they are.</w:t>
      </w:r>
    </w:p>
    <w:p>
      <w:pPr>
        <w:spacing w:after="12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Format: "01 · Foundation" or "How we work". Keep under 5 words.</w:t>
      </w:r>
    </w:p>
    <w:p>
      <w:pPr>
        <w:pStyle w:val="Heading3"/>
        <w:spacing w:after="12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Headline + italic word</w:t>
      </w:r>
    </w:p>
    <w:p>
      <w:pPr>
        <w:spacing w:after="12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A two- to four-line H1 or H2 in Ink, with one or two key words italicized in Link Blue. The italic word carries the emotional weight; everything else carries the meaning.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6868B"/>
          <w:sz w:val="18"/>
          <w:szCs w:val="18"/>
        </w:rPr>
        <w:t xml:space="preserve">Example: Own the system that runs your business. ("business" set in italic Link Blue)</w:t>
      </w:r>
    </w:p>
    <w:p>
      <w:pPr>
        <w:pStyle w:val="Heading3"/>
        <w:spacing w:after="12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Tile</w:t>
      </w:r>
    </w:p>
    <w:p>
      <w:pPr>
        <w:spacing w:after="12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Rounded rectangle (24px radius), Surface or Surface 2 fill, 40–64px inner padding. Contains: eyebrow → H3 title → sub-paragraph → optional CTA link. Always in this order. Stack two or three across a row with 12px gap.</w:t>
      </w:r>
    </w:p>
    <w:p>
      <w:pPr>
        <w:pStyle w:val="Heading3"/>
        <w:spacing w:after="12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Pill button</w:t>
      </w:r>
    </w:p>
    <w:p>
      <w:pPr>
        <w:spacing w:after="12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Two variants only: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Primary: Link Blue background, white text. One per screen — for the most important action.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Ghost: Link Blue 1px outline, Link Blue text, transparent fill. For secondary actions.</w:t>
      </w:r>
    </w:p>
    <w:p>
      <w:pPr>
        <w:spacing w:after="12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Padding: 12px vertical × 22px horizontal. Font: 17pt Regular. Never use drop shadows, gradients, or icons inside CTAs.</w:t>
      </w:r>
    </w:p>
    <w:p>
      <w:pPr>
        <w:pStyle w:val="Heading3"/>
        <w:spacing w:after="12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Inline link</w:t>
      </w:r>
    </w:p>
    <w:p>
      <w:pPr>
        <w:spacing w:after="12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Link Blue text with a single chevron "›" appended. No underline by default. Underlines on hover. Use as a tertiary action where a button would be too loud.</w:t>
      </w:r>
    </w:p>
    <w:p>
      <w:pPr>
        <w:pStyle w:val="Heading3"/>
        <w:spacing w:after="12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Hairline divider</w:t>
      </w:r>
    </w:p>
    <w:p>
      <w:pPr>
        <w:spacing w:after="12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1px solid #D2D2D7. Vertical separator between footer columns. Horizontal separator between footer rows. Never used decoratively — only structurally.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71E3"/>
          <w:spacing w:val="40"/>
          <w:sz w:val="16"/>
          <w:szCs w:val="16"/>
        </w:rPr>
        <w:t xml:space="preserve">06 · IDENTITY</w:t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D1D1F"/>
          <w:sz w:val="56"/>
          <w:szCs w:val="56"/>
        </w:rPr>
        <w:t xml:space="preserve">Logo &amp; marks</w:t>
      </w:r>
    </w:p>
    <w:p>
      <w:pPr>
        <w:spacing w:after="200" w:line="320"/>
      </w:pPr>
      <w:r>
        <w:rPr>
          <w:rFonts w:ascii="Arial" w:cs="Arial" w:eastAsia="Arial" w:hAnsi="Arial"/>
          <w:color w:val="6E6E73"/>
          <w:sz w:val="24"/>
          <w:szCs w:val="24"/>
        </w:rPr>
        <w:t xml:space="preserve">Two marks: a wordmark and a glyph. They are derived from the same geometric system — six asymmetric arrows pointing inward to a central anchor.</w:t>
      </w:r>
    </w:p>
    <w:p>
      <w:pPr>
        <w:spacing w:after="120"/>
      </w:pPr>
    </w:p>
    <w:p>
      <w:pPr>
        <w:pStyle w:val="Heading3"/>
        <w:spacing w:after="12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Primary wordmark</w:t>
      </w:r>
    </w:p>
    <w:p>
      <w:pPr>
        <w:spacing w:after="12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"VELO WORKING" set in geometric semibold caps with the glyph aligned to its left. Use this on covers, headers, footers, and any context where the brand needs to be named.</w:t>
      </w:r>
    </w:p>
    <w:p>
      <w:pPr>
        <w:pStyle w:val="Heading3"/>
        <w:spacing w:after="12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Standalone glyph</w:t>
      </w:r>
    </w:p>
    <w:p>
      <w:pPr>
        <w:spacing w:after="12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The six-arrow mark on its own. Use as a favicon, social avatar, or where the wordmark would be too long. Never distort the proportions; never add a stroke.</w:t>
      </w:r>
    </w:p>
    <w:p>
      <w:pPr>
        <w:pStyle w:val="Heading3"/>
        <w:spacing w:after="12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Color variations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Default: Ink (#1D1D1F) on Paper or Surface backgrounds.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Reverse: Pure White (#FFFFFF) on Dark or Velo Blue backgrounds.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Never: in Link Blue. Never: in gradient. Never: with effects.</w:t>
      </w:r>
    </w:p>
    <w:p>
      <w:pPr>
        <w:pStyle w:val="Heading3"/>
        <w:spacing w:after="12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Clear space</w:t>
      </w:r>
    </w:p>
    <w:p>
      <w:pPr>
        <w:spacing w:after="12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Maintain clear space around the logo equal to the height of the glyph itself. No other element — text, photo, edge of page — may enter that zone.</w:t>
      </w:r>
    </w:p>
    <w:p>
      <w:pPr>
        <w:pStyle w:val="Heading3"/>
        <w:spacing w:after="12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Minimum size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Wordmark: 80px wide on screen, 20mm wide in print.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Glyph alone: 24px on screen, 8mm in print.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71E3"/>
          <w:spacing w:val="40"/>
          <w:sz w:val="16"/>
          <w:szCs w:val="16"/>
        </w:rPr>
        <w:t xml:space="preserve">07 · SYSTEM</w:t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D1D1F"/>
          <w:sz w:val="56"/>
          <w:szCs w:val="56"/>
        </w:rPr>
        <w:t xml:space="preserve">Imagery &amp; iconography</w:t>
      </w:r>
    </w:p>
    <w:p>
      <w:pPr>
        <w:spacing w:after="200" w:line="320"/>
      </w:pPr>
      <w:r>
        <w:rPr>
          <w:rFonts w:ascii="Arial" w:cs="Arial" w:eastAsia="Arial" w:hAnsi="Arial"/>
          <w:color w:val="6E6E73"/>
          <w:sz w:val="24"/>
          <w:szCs w:val="24"/>
        </w:rPr>
        <w:t xml:space="preserve">The current Velo Working brand is type-only. We do not use photography, illustration, or stock graphics in primary marketing assets. This is a deliberate constraint — the absence is the design.</w:t>
      </w:r>
    </w:p>
    <w:p>
      <w:pPr>
        <w:spacing w:after="120"/>
      </w:pPr>
    </w:p>
    <w:p>
      <w:pPr>
        <w:pStyle w:val="Heading3"/>
        <w:spacing w:after="12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When images may appear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Partner logos (Jodoo) — monochrome white-on-dark inside a glass pill, never colored, never on a colored background.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Founder/team photography — only on About pages, only in black-and-white, only against a Surface 2 background.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Diagrams — line-art only, 1.5px stroke, Ink color, with Link Blue used for emphasis on one element.</w:t>
      </w:r>
    </w:p>
    <w:p>
      <w:pPr>
        <w:pStyle w:val="Heading3"/>
        <w:spacing w:after="12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What never appears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Stock photography of office workers, handshakes, or skyscrapers.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Gradient mesh backgrounds, abstract blobs, or 3D renders.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Emoji, animated stickers, or hand-drawn illustrations.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Screenshots of competitor products or third-party UIs.</w:t>
      </w:r>
    </w:p>
    <w:p>
      <w:pPr>
        <w:pStyle w:val="Heading3"/>
        <w:spacing w:after="12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Iconography</w:t>
      </w:r>
    </w:p>
    <w:p>
      <w:pPr>
        <w:spacing w:after="12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Use icons sparingly — at most one per card, never as decoration. When used: stroke icons only, 1.5px weight, 24px box, Ink color. Lucide icon set is the reference standard. Never filled icons; never colored icons.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71E3"/>
          <w:spacing w:val="40"/>
          <w:sz w:val="16"/>
          <w:szCs w:val="16"/>
        </w:rPr>
        <w:t xml:space="preserve">08 · VOICE</w:t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D1D1F"/>
          <w:sz w:val="56"/>
          <w:szCs w:val="56"/>
        </w:rPr>
        <w:t xml:space="preserve">Writing style</w:t>
      </w:r>
    </w:p>
    <w:p>
      <w:pPr>
        <w:spacing w:after="200" w:line="320"/>
      </w:pPr>
      <w:r>
        <w:rPr>
          <w:rFonts w:ascii="Arial" w:cs="Arial" w:eastAsia="Arial" w:hAnsi="Arial"/>
          <w:color w:val="6E6E73"/>
          <w:sz w:val="24"/>
          <w:szCs w:val="24"/>
        </w:rPr>
        <w:t xml:space="preserve">How copy is written matters as much as how it looks. Velo Working's voice is calm, blunt, and structurally honest.</w:t>
      </w:r>
    </w:p>
    <w:p>
      <w:pPr>
        <w:spacing w:after="120"/>
      </w:pPr>
    </w:p>
    <w:p>
      <w:pPr>
        <w:pStyle w:val="Heading3"/>
        <w:spacing w:after="12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Tone principles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Quietly relentless. Confidence without volume. We do not shout, exclaim, or hype.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Bluntly honest. If a service isn't right for a client, we say so. The copy reflects this.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Engineer-grade clarity. Precise nouns, active verbs, no hedging.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No vendor jargon. Avoid: "leverage", "synergy", "solutions", "transformation", "unlock", "empower".</w:t>
      </w:r>
    </w:p>
    <w:p>
      <w:pPr>
        <w:spacing w:after="120"/>
      </w:pPr>
    </w:p>
    <w:p>
      <w:pPr>
        <w:pStyle w:val="Heading3"/>
        <w:spacing w:after="12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Sentence patterns we use</w:t>
      </w:r>
    </w:p>
    <w:p>
      <w:pPr>
        <w:spacing w:after="12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Short, declarative sentences. Often three or four words. Then a longer one for rhythm.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6868B"/>
          <w:sz w:val="18"/>
          <w:szCs w:val="18"/>
        </w:rPr>
        <w:t xml:space="preserve">"You didn't fail the system. The system failed you."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6868B"/>
          <w:sz w:val="18"/>
          <w:szCs w:val="18"/>
        </w:rPr>
        <w:t xml:space="preserve">"Fixed scope. Fixed fee. Published."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6868B"/>
          <w:sz w:val="18"/>
          <w:szCs w:val="18"/>
        </w:rPr>
        <w:t xml:space="preserve">"Engineered with Jodoo. Owned by your team."</w:t>
      </w:r>
    </w:p>
    <w:p>
      <w:pPr>
        <w:spacing w:after="120"/>
      </w:pPr>
    </w:p>
    <w:p>
      <w:pPr>
        <w:pStyle w:val="Heading3"/>
        <w:spacing w:after="12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Headline construction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Lead with a verb or possessive: "Own the…", "Built for…", "Engineered with…".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Italicize one emotional word. Color it Link Blue. Everything else stays Ink.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Break headlines into 2–4 manual lines. Each line is a beat — read aloud before shipping.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Numbers and currency in headlines stay numeric: "S$3,500" not "three thousand five hundred dollars".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71E3"/>
          <w:spacing w:val="40"/>
          <w:sz w:val="16"/>
          <w:szCs w:val="16"/>
        </w:rPr>
        <w:t xml:space="preserve">09 · APPLICATION</w:t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D1D1F"/>
          <w:sz w:val="56"/>
          <w:szCs w:val="56"/>
        </w:rPr>
        <w:t xml:space="preserve">Do and don't</w:t>
      </w:r>
    </w:p>
    <w:p>
      <w:pPr>
        <w:spacing w:after="200" w:line="320"/>
      </w:pPr>
      <w:r>
        <w:rPr>
          <w:rFonts w:ascii="Arial" w:cs="Arial" w:eastAsia="Arial" w:hAnsi="Arial"/>
          <w:color w:val="6E6E73"/>
          <w:sz w:val="24"/>
          <w:szCs w:val="24"/>
        </w:rPr>
        <w:t xml:space="preserve">The most common ways the brand gets compromised — and what to do instead.</w:t>
      </w:r>
    </w:p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0F8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8B4C"/>
                <w:spacing w:val="40"/>
                <w:sz w:val="16"/>
                <w:szCs w:val="16"/>
              </w:rPr>
              <w:t xml:space="preserve">DO</w:t>
            </w:r>
          </w:p>
        </w:tc>
        <w:tc>
          <w:tcPr>
            <w:tcW w:type="dxa" w:w="31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BF1F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3261E"/>
                <w:spacing w:val="40"/>
                <w:sz w:val="16"/>
                <w:szCs w:val="16"/>
              </w:rPr>
              <w:t xml:space="preserve">DON'T</w:t>
            </w:r>
          </w:p>
        </w:tc>
        <w:tc>
          <w:tcPr>
            <w:tcW w:type="dxa" w:w="31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1E3"/>
                <w:spacing w:val="40"/>
                <w:sz w:val="16"/>
                <w:szCs w:val="16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Off-white #FBFBFD page background</w:t>
            </w:r>
          </w:p>
        </w:tc>
        <w:tc>
          <w:tcPr>
            <w:tcW w:type="dxa" w:w="31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Pure white #FFFFFF page background</w:t>
            </w:r>
          </w:p>
        </w:tc>
        <w:tc>
          <w:tcPr>
            <w:tcW w:type="dxa" w:w="31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6E6E73"/>
                <w:sz w:val="20"/>
                <w:szCs w:val="20"/>
              </w:rPr>
              <w:t xml:space="preserve">Pure white feels harsh and screen-burn against Ink. Off-white is the Apple signature.</w:t>
            </w:r>
          </w:p>
        </w:tc>
      </w:tr>
      <w:tr>
        <w:tc>
          <w:tcPr>
            <w:tcW w:type="dxa" w:w="31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One italic word in Link Blue per headline</w:t>
            </w:r>
          </w:p>
        </w:tc>
        <w:tc>
          <w:tcPr>
            <w:tcW w:type="dxa" w:w="31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Multiple italicized words across the headline</w:t>
            </w:r>
          </w:p>
        </w:tc>
        <w:tc>
          <w:tcPr>
            <w:tcW w:type="dxa" w:w="31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6E6E73"/>
                <w:sz w:val="20"/>
                <w:szCs w:val="20"/>
              </w:rPr>
              <w:t xml:space="preserve">The italic is the moment of emphasis. More than one cancels the effect.</w:t>
            </w:r>
          </w:p>
        </w:tc>
      </w:tr>
      <w:tr>
        <w:tc>
          <w:tcPr>
            <w:tcW w:type="dxa" w:w="31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Eyebrow above every section</w:t>
            </w:r>
          </w:p>
        </w:tc>
        <w:tc>
          <w:tcPr>
            <w:tcW w:type="dxa" w:w="31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Section headlines floating without context</w:t>
            </w:r>
          </w:p>
        </w:tc>
        <w:tc>
          <w:tcPr>
            <w:tcW w:type="dxa" w:w="31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6E6E73"/>
                <w:sz w:val="20"/>
                <w:szCs w:val="20"/>
              </w:rPr>
              <w:t xml:space="preserve">The eyebrow is the wayfinding label — it tells the reader where they are.</w:t>
            </w:r>
          </w:p>
        </w:tc>
      </w:tr>
      <w:tr>
        <w:tc>
          <w:tcPr>
            <w:tcW w:type="dxa" w:w="31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Pill buttons with 17pt Regular text</w:t>
            </w:r>
          </w:p>
        </w:tc>
        <w:tc>
          <w:tcPr>
            <w:tcW w:type="dxa" w:w="31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Rectangular buttons or buttons with bold text</w:t>
            </w:r>
          </w:p>
        </w:tc>
        <w:tc>
          <w:tcPr>
            <w:tcW w:type="dxa" w:w="31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6E6E73"/>
                <w:sz w:val="20"/>
                <w:szCs w:val="20"/>
              </w:rPr>
              <w:t xml:space="preserve">The pill shape is the brand. Bold text inside breaks the calm posture.</w:t>
            </w:r>
          </w:p>
        </w:tc>
      </w:tr>
      <w:tr>
        <w:tc>
          <w:tcPr>
            <w:tcW w:type="dxa" w:w="31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12px gaps between tiles</w:t>
            </w:r>
          </w:p>
        </w:tc>
        <w:tc>
          <w:tcPr>
            <w:tcW w:type="dxa" w:w="31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Wide gutters or zero gaps between cards</w:t>
            </w:r>
          </w:p>
        </w:tc>
        <w:tc>
          <w:tcPr>
            <w:tcW w:type="dxa" w:w="31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6E6E73"/>
                <w:sz w:val="20"/>
                <w:szCs w:val="20"/>
              </w:rPr>
              <w:t xml:space="preserve">Tiles read as one composition with a 12px gap. More feels disconnected; less feels crowded.</w:t>
            </w:r>
          </w:p>
        </w:tc>
      </w:tr>
      <w:tr>
        <w:tc>
          <w:tcPr>
            <w:tcW w:type="dxa" w:w="31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Sentence-case body and title-case headlines</w:t>
            </w:r>
          </w:p>
        </w:tc>
        <w:tc>
          <w:tcPr>
            <w:tcW w:type="dxa" w:w="31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ALL CAPS HEADLINES (except eyebrows)</w:t>
            </w:r>
          </w:p>
        </w:tc>
        <w:tc>
          <w:tcPr>
            <w:tcW w:type="dxa" w:w="31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6E6E73"/>
                <w:sz w:val="20"/>
                <w:szCs w:val="20"/>
              </w:rPr>
              <w:t xml:space="preserve">All-caps shouts. The Velo Working voice never shouts.</w:t>
            </w:r>
          </w:p>
        </w:tc>
      </w:tr>
      <w:tr>
        <w:tc>
          <w:tcPr>
            <w:tcW w:type="dxa" w:w="31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Hairline 1px Rule dividers</w:t>
            </w:r>
          </w:p>
        </w:tc>
        <w:tc>
          <w:tcPr>
            <w:tcW w:type="dxa" w:w="31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Heavy 2–4px borders or colored dividers</w:t>
            </w:r>
          </w:p>
        </w:tc>
        <w:tc>
          <w:tcPr>
            <w:tcW w:type="dxa" w:w="31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6E6E73"/>
                <w:sz w:val="20"/>
                <w:szCs w:val="20"/>
              </w:rPr>
              <w:t xml:space="preserve">Anything thicker than 1px feels like a different brand era. Thin = current.</w:t>
            </w:r>
          </w:p>
        </w:tc>
      </w:tr>
      <w:tr>
        <w:tc>
          <w:tcPr>
            <w:tcW w:type="dxa" w:w="31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Generous section padding (80–120px)</w:t>
            </w:r>
          </w:p>
        </w:tc>
        <w:tc>
          <w:tcPr>
            <w:tcW w:type="dxa" w:w="31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Cramming sections to fit on one page</w:t>
            </w:r>
          </w:p>
        </w:tc>
        <w:tc>
          <w:tcPr>
            <w:tcW w:type="dxa" w:w="312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6E6E73"/>
                <w:sz w:val="20"/>
                <w:szCs w:val="20"/>
              </w:rPr>
              <w:t xml:space="preserve">Whitespace is the design. Removing it removes the brand.</w:t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71E3"/>
          <w:spacing w:val="40"/>
          <w:sz w:val="16"/>
          <w:szCs w:val="16"/>
        </w:rPr>
        <w:t xml:space="preserve">10 · IMPLEMENTATION</w:t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D1D1F"/>
          <w:sz w:val="56"/>
          <w:szCs w:val="56"/>
        </w:rPr>
        <w:t xml:space="preserve">Canva Brand Kit setup</w:t>
      </w:r>
    </w:p>
    <w:p>
      <w:pPr>
        <w:spacing w:after="200" w:line="320"/>
      </w:pPr>
      <w:r>
        <w:rPr>
          <w:rFonts w:ascii="Arial" w:cs="Arial" w:eastAsia="Arial" w:hAnsi="Arial"/>
          <w:color w:val="6E6E73"/>
          <w:sz w:val="24"/>
          <w:szCs w:val="24"/>
        </w:rPr>
        <w:t xml:space="preserve">Step-by-step instructions for translating this guideline into Canva. Do these in order — each step depends on the one before.</w:t>
      </w:r>
    </w:p>
    <w:p>
      <w:pPr>
        <w:spacing w:after="180"/>
      </w:pPr>
    </w:p>
    <w:p>
      <w:pPr>
        <w:pStyle w:val="Heading3"/>
        <w:spacing w:after="12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Step 1 · Brand colors</w:t>
      </w:r>
    </w:p>
    <w:p>
      <w:pPr>
        <w:spacing w:after="12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In your Canva Brand Kit, create a single color palette named "Velo Working — Core". Add the four primary palette hex codes in this exact order so the first color (Ink) becomes the default text color across all designs: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1D1D1F · Ink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FBFBFD · Paper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0071E3 · Link Blue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1317E4 · Velo Blue</w:t>
      </w:r>
    </w:p>
    <w:p>
      <w:pPr>
        <w:spacing w:after="12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Create a second palette named "Velo Working — Supporting" with the seven secondary colors. Keep palettes separate so designers don't accidentally apply Ink 3 to a headline.</w:t>
      </w:r>
    </w:p>
    <w:p>
      <w:pPr>
        <w:pStyle w:val="Heading3"/>
        <w:spacing w:after="12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Step 2 · Brand fonts</w:t>
      </w:r>
    </w:p>
    <w:p>
      <w:pPr>
        <w:spacing w:after="12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Set your three Brand Kit font slots as follows: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1E3"/>
                <w:spacing w:val="40"/>
                <w:sz w:val="16"/>
                <w:szCs w:val="16"/>
              </w:rPr>
              <w:t xml:space="preserve">CANVA SLOT</w:t>
            </w:r>
          </w:p>
        </w:tc>
        <w:tc>
          <w:tcPr>
            <w:tcW w:type="dxa" w:w="63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1E3"/>
                <w:spacing w:val="40"/>
                <w:sz w:val="16"/>
                <w:szCs w:val="16"/>
              </w:rPr>
              <w:t xml:space="preserve">FONT SETTING</w:t>
            </w:r>
          </w:p>
        </w:tc>
      </w:tr>
      <w:t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Heading</w:t>
            </w:r>
          </w:p>
        </w:tc>
        <w:tc>
          <w:tcPr>
            <w:tcW w:type="dxa" w:w="63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Inter · Semibold (600) · Size 48pt · Color Ink (#1D1D1F)</w:t>
            </w:r>
          </w:p>
        </w:tc>
      </w:tr>
      <w:t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Subheading</w:t>
            </w:r>
          </w:p>
        </w:tc>
        <w:tc>
          <w:tcPr>
            <w:tcW w:type="dxa" w:w="63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Inter · Semibold (600) · Size 24pt · Color Ink (#1D1D1F)</w:t>
            </w:r>
          </w:p>
        </w:tc>
      </w:tr>
      <w:t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Body</w:t>
            </w:r>
          </w:p>
        </w:tc>
        <w:tc>
          <w:tcPr>
            <w:tcW w:type="dxa" w:w="63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Inter · Regular (400) · Size 14pt · Color Ink (#1D1D1F)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If Inter is not available in your Canva plan, fall back to Work Sans (Semibold + Regular). Avoid Open Sans, Roboto, and Lato — they read as generic.</w:t>
      </w:r>
    </w:p>
    <w:p>
      <w:pPr>
        <w:pStyle w:val="Heading3"/>
        <w:spacing w:after="12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Step 3 · Logos</w:t>
      </w:r>
    </w:p>
    <w:p>
      <w:pPr>
        <w:spacing w:after="12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Upload three logo variants to the Brand Kit logos panel: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Wordmark — Ink on transparent (default)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Wordmark — White on transparent (for Dark backgrounds)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Glyph only — Ink on transparent (for avatars and small spaces)</w:t>
      </w:r>
    </w:p>
    <w:p>
      <w:pPr>
        <w:pStyle w:val="Heading3"/>
        <w:spacing w:after="12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Step 4 · Brand voice</w:t>
      </w:r>
    </w:p>
    <w:p>
      <w:pPr>
        <w:spacing w:after="12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Paste the following into Canva's Brand Voice field (under Brand Hub):</w:t>
      </w:r>
    </w:p>
    <w:p>
      <w:pPr>
        <w:pBdr>
          <w:left w:val="single" w:color="0071E3" w:sz="24" w:space="12"/>
        </w:pBdr>
        <w:spacing w:after="240" w:before="120"/>
      </w:pPr>
      <w:r>
        <w:rPr>
          <w:rFonts w:ascii="Arial" w:cs="Arial" w:eastAsia="Arial" w:hAnsi="Arial"/>
          <w:i/>
          <w:iCs/>
          <w:color w:val="6E6E73"/>
          <w:sz w:val="22"/>
          <w:szCs w:val="22"/>
        </w:rPr>
        <w:t xml:space="preserve">Quietly relentless. Bluntly honest. Engineer-grade clarity. Avoid hype words and vendor jargon. Headlines lead with a verb. One italic word per headline, set in Link Blue. Body sentences are short and declarative. We never use exclamation marks.</w:t>
      </w:r>
    </w:p>
    <w:p>
      <w:pPr>
        <w:pStyle w:val="Heading3"/>
        <w:spacing w:after="12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Step 5 · Templates</w:t>
      </w:r>
    </w:p>
    <w:p>
      <w:pPr>
        <w:spacing w:after="12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Build three master templates that lock the system in place: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Cover slide — Paper background, eyebrow top-left, oversized H1 with one italic word.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Content slide — Paper background, eyebrow + H2 left column, three Surface tiles in right column.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Dark moment slide — Dark background, white headline, Link Blue eyebrow, single Ghost CTA in white outline.</w:t>
      </w:r>
    </w:p>
    <w:p>
      <w:pPr>
        <w:spacing w:after="120" w:line="300"/>
      </w:pPr>
      <w:r>
        <w:rPr>
          <w:rFonts w:ascii="Arial" w:cs="Arial" w:eastAsia="Arial" w:hAnsi="Arial"/>
          <w:color w:val="1D1D1F"/>
          <w:sz w:val="22"/>
          <w:szCs w:val="22"/>
        </w:rPr>
        <w:t xml:space="preserve">Save these as Brand Templates so anyone on the team can spin up new assets without rebuilding the system.</w:t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071E3"/>
          <w:spacing w:val="40"/>
          <w:sz w:val="16"/>
          <w:szCs w:val="16"/>
        </w:rPr>
        <w:t xml:space="preserve">11 · REFERENCE</w:t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D1D1F"/>
          <w:sz w:val="56"/>
          <w:szCs w:val="56"/>
        </w:rPr>
        <w:t xml:space="preserve">Quick reference card</w:t>
      </w:r>
    </w:p>
    <w:p>
      <w:pPr>
        <w:spacing w:after="200" w:line="320"/>
      </w:pPr>
      <w:r>
        <w:rPr>
          <w:rFonts w:ascii="Arial" w:cs="Arial" w:eastAsia="Arial" w:hAnsi="Arial"/>
          <w:color w:val="6E6E73"/>
          <w:sz w:val="24"/>
          <w:szCs w:val="24"/>
        </w:rPr>
        <w:t xml:space="preserve">One page. Print, screenshot, or pin in your team's shared workspace.</w:t>
      </w:r>
    </w:p>
    <w:p>
      <w:pPr>
        <w:spacing w:after="180"/>
      </w:pPr>
    </w:p>
    <w:p>
      <w:pPr>
        <w:pStyle w:val="Heading3"/>
        <w:spacing w:after="12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Colors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1E3"/>
                <w:spacing w:val="40"/>
                <w:sz w:val="16"/>
                <w:szCs w:val="16"/>
              </w:rPr>
              <w:t xml:space="preserve">HEX</w:t>
            </w:r>
          </w:p>
        </w:tc>
        <w:tc>
          <w:tcPr>
            <w:tcW w:type="dxa" w:w="6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1E3"/>
                <w:spacing w:val="40"/>
                <w:sz w:val="16"/>
                <w:szCs w:val="16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#1D1D1F</w:t>
            </w:r>
          </w:p>
        </w:tc>
        <w:tc>
          <w:tcPr>
            <w:tcW w:type="dxa" w:w="6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Ink — primary text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#FBFBFD</w:t>
            </w:r>
          </w:p>
        </w:tc>
        <w:tc>
          <w:tcPr>
            <w:tcW w:type="dxa" w:w="6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Paper — page background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#0071E3</w:t>
            </w:r>
          </w:p>
        </w:tc>
        <w:tc>
          <w:tcPr>
            <w:tcW w:type="dxa" w:w="6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Link Blue — accent (CTA, italic words, eyebrow)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#1317E4</w:t>
            </w:r>
          </w:p>
        </w:tc>
        <w:tc>
          <w:tcPr>
            <w:tcW w:type="dxa" w:w="6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Velo Blue — partner gradient only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#FFFFFF</w:t>
            </w:r>
          </w:p>
        </w:tc>
        <w:tc>
          <w:tcPr>
            <w:tcW w:type="dxa" w:w="6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Surface — white tiles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#F5F5F7</w:t>
            </w:r>
          </w:p>
        </w:tc>
        <w:tc>
          <w:tcPr>
            <w:tcW w:type="dxa" w:w="6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Surface 2 — light gray tiles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#6E6E73</w:t>
            </w:r>
          </w:p>
        </w:tc>
        <w:tc>
          <w:tcPr>
            <w:tcW w:type="dxa" w:w="6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Ink 2 — secondary text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#86868B</w:t>
            </w:r>
          </w:p>
        </w:tc>
        <w:tc>
          <w:tcPr>
            <w:tcW w:type="dxa" w:w="6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Ink 3 — tertiary text / fine print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#D2D2D7</w:t>
            </w:r>
          </w:p>
        </w:tc>
        <w:tc>
          <w:tcPr>
            <w:tcW w:type="dxa" w:w="6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Rule — 1px hairline dividers</w:t>
            </w:r>
          </w:p>
        </w:tc>
      </w:tr>
      <w:tr>
        <w:tc>
          <w:tcPr>
            <w:tcW w:type="dxa" w:w="24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#0B0B0D</w:t>
            </w:r>
          </w:p>
        </w:tc>
        <w:tc>
          <w:tcPr>
            <w:tcW w:type="dxa" w:w="69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Dark — premium dark tiles</w:t>
            </w:r>
          </w:p>
        </w:tc>
      </w:tr>
    </w:tbl>
    <w:p>
      <w:pPr>
        <w:spacing w:after="180"/>
      </w:pPr>
    </w:p>
    <w:p>
      <w:pPr>
        <w:pStyle w:val="Heading3"/>
        <w:spacing w:after="12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Typography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1E3"/>
                <w:spacing w:val="40"/>
                <w:sz w:val="16"/>
                <w:szCs w:val="16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1E3"/>
                <w:spacing w:val="40"/>
                <w:sz w:val="16"/>
                <w:szCs w:val="16"/>
              </w:rPr>
              <w:t xml:space="preserve">SPEC</w:t>
            </w:r>
          </w:p>
        </w:tc>
      </w:tr>
      <w:t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Display H1</w:t>
            </w:r>
          </w:p>
        </w:tc>
        <w:tc>
          <w:tcPr>
            <w:tcW w:type="dxa" w:w="63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Inter Semibold · 60–80pt · −0.045em · Ink</w:t>
            </w:r>
          </w:p>
        </w:tc>
      </w:tr>
      <w:t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H2</w:t>
            </w:r>
          </w:p>
        </w:tc>
        <w:tc>
          <w:tcPr>
            <w:tcW w:type="dxa" w:w="63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Inter Semibold · 32–56pt · −0.04em · Ink</w:t>
            </w:r>
          </w:p>
        </w:tc>
      </w:tr>
      <w:t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H3</w:t>
            </w:r>
          </w:p>
        </w:tc>
        <w:tc>
          <w:tcPr>
            <w:tcW w:type="dxa" w:w="63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Inter Semibold · 22–32pt · −0.03em · Ink</w:t>
            </w:r>
          </w:p>
        </w:tc>
      </w:tr>
      <w:t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Lead</w:t>
            </w:r>
          </w:p>
        </w:tc>
        <w:tc>
          <w:tcPr>
            <w:tcW w:type="dxa" w:w="63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Inter Regular · 19–22pt · Ink 2</w:t>
            </w:r>
          </w:p>
        </w:tc>
      </w:tr>
      <w:t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Body</w:t>
            </w:r>
          </w:p>
        </w:tc>
        <w:tc>
          <w:tcPr>
            <w:tcW w:type="dxa" w:w="63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Inter Regular · 17pt · 1.47 line · Ink</w:t>
            </w:r>
          </w:p>
        </w:tc>
      </w:tr>
      <w:t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Eyebrow</w:t>
            </w:r>
          </w:p>
        </w:tc>
        <w:tc>
          <w:tcPr>
            <w:tcW w:type="dxa" w:w="63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Inter Semibold UPPERCASE · 14pt · +0.04em · Link Blue</w:t>
            </w:r>
          </w:p>
        </w:tc>
      </w:tr>
      <w:t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Caption</w:t>
            </w:r>
          </w:p>
        </w:tc>
        <w:tc>
          <w:tcPr>
            <w:tcW w:type="dxa" w:w="63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Inter Regular · 12–14pt · Ink 3</w:t>
            </w:r>
          </w:p>
        </w:tc>
      </w:tr>
    </w:tbl>
    <w:p>
      <w:pPr>
        <w:spacing w:after="180"/>
      </w:pPr>
    </w:p>
    <w:p>
      <w:pPr>
        <w:pStyle w:val="Heading3"/>
        <w:spacing w:after="120" w:before="320"/>
      </w:pPr>
      <w:r>
        <w:rPr>
          <w:rFonts w:ascii="Arial" w:cs="Arial" w:eastAsia="Arial" w:hAnsi="Arial"/>
          <w:b/>
          <w:bCs/>
          <w:color w:val="1D1D1F"/>
          <w:sz w:val="26"/>
          <w:szCs w:val="26"/>
        </w:rPr>
        <w:t xml:space="preserve">Spacing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1E3"/>
                <w:spacing w:val="40"/>
                <w:sz w:val="16"/>
                <w:szCs w:val="16"/>
              </w:rPr>
              <w:t xml:space="preserve">TOKEN</w:t>
            </w:r>
          </w:p>
        </w:tc>
        <w:tc>
          <w:tcPr>
            <w:tcW w:type="dxa" w:w="63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shd w:fill="F5F5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71E3"/>
                <w:spacing w:val="40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Section padding</w:t>
            </w:r>
          </w:p>
        </w:tc>
        <w:tc>
          <w:tcPr>
            <w:tcW w:type="dxa" w:w="63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80–120px top/bottom</w:t>
            </w:r>
          </w:p>
        </w:tc>
      </w:tr>
      <w:t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Tile gap</w:t>
            </w:r>
          </w:p>
        </w:tc>
        <w:tc>
          <w:tcPr>
            <w:tcW w:type="dxa" w:w="63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Tile inner padding</w:t>
            </w:r>
          </w:p>
        </w:tc>
        <w:tc>
          <w:tcPr>
            <w:tcW w:type="dxa" w:w="63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40–64px</w:t>
            </w:r>
          </w:p>
        </w:tc>
      </w:tr>
      <w:t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Heading after</w:t>
            </w:r>
          </w:p>
        </w:tc>
        <w:tc>
          <w:tcPr>
            <w:tcW w:type="dxa" w:w="63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16–24px</w:t>
            </w:r>
          </w:p>
        </w:tc>
      </w:tr>
      <w:t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Eyebrow gap</w:t>
            </w:r>
          </w:p>
        </w:tc>
        <w:tc>
          <w:tcPr>
            <w:tcW w:type="dxa" w:w="63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12px above headline</w:t>
            </w:r>
          </w:p>
        </w:tc>
      </w:tr>
      <w:t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Tile radius</w:t>
            </w:r>
          </w:p>
        </w:tc>
        <w:tc>
          <w:tcPr>
            <w:tcW w:type="dxa" w:w="63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24px</w:t>
            </w:r>
          </w:p>
        </w:tc>
      </w:tr>
      <w:t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Button radius</w:t>
            </w:r>
          </w:p>
        </w:tc>
        <w:tc>
          <w:tcPr>
            <w:tcW w:type="dxa" w:w="63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980px (full pill)</w:t>
            </w:r>
          </w:p>
        </w:tc>
      </w:tr>
      <w:tr>
        <w:tc>
          <w:tcPr>
            <w:tcW w:type="dxa" w:w="300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Hairline weight</w:t>
            </w:r>
          </w:p>
        </w:tc>
        <w:tc>
          <w:tcPr>
            <w:tcW w:type="dxa" w:w="6360"/>
            <w:tcBorders>
              <w:top w:val="single" w:color="D2D2D7" w:sz="4"/>
              <w:left w:val="single" w:color="D2D2D7" w:sz="4"/>
              <w:bottom w:val="single" w:color="D2D2D7" w:sz="4"/>
              <w:right w:val="single" w:color="D2D2D7" w:sz="4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rFonts w:ascii="Arial" w:cs="Arial" w:eastAsia="Arial" w:hAnsi="Arial"/>
                <w:color w:val="1D1D1F"/>
                <w:sz w:val="20"/>
                <w:szCs w:val="20"/>
              </w:rPr>
              <w:t xml:space="preserve">1px · #D2D2D7</w:t>
            </w:r>
          </w:p>
        </w:tc>
      </w:tr>
    </w:tbl>
    <w:p>
      <w:pPr>
        <w:spacing w:after="240"/>
      </w:pPr>
    </w:p>
    <w:p>
      <w:pPr>
        <w:pBdr>
          <w:bottom w:val="single" w:color="D2D2D7" w:sz="6" w:space="1"/>
        </w:pBdr>
        <w:spacing w:after="240" w:before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0071E3"/>
          <w:sz w:val="22"/>
          <w:szCs w:val="22"/>
        </w:rPr>
        <w:t xml:space="preserve">Built for the ones still standing.</w:t>
      </w:r>
    </w:p>
    <w:p>
      <w:pPr>
        <w:spacing w:before="60"/>
        <w:jc w:val="center"/>
      </w:pPr>
      <w:r>
        <w:rPr>
          <w:rFonts w:ascii="Arial" w:cs="Arial" w:eastAsia="Arial" w:hAnsi="Arial"/>
          <w:color w:val="86868B"/>
          <w:spacing w:val="20"/>
          <w:sz w:val="16"/>
          <w:szCs w:val="16"/>
        </w:rPr>
        <w:t xml:space="preserve">Velo Working Pte. Ltd. · UEN 202609930G · Brand Guidelines v1.0 ·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0071E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D1D1F"/>
      <w:sz w:val="56"/>
      <w:szCs w:val="56"/>
    </w:rPr>
  </w:style>
  <w:style w:type="paragraph" w:styleId="Heading2">
    <w:name w:val="Heading 2"/>
    <w:basedOn w:val="Normal"/>
    <w:next w:val="Normal"/>
    <w:qFormat/>
    <w:pPr>
      <w:spacing w:after="200" w:before="480"/>
      <w:outlineLvl w:val="1"/>
    </w:pPr>
    <w:rPr>
      <w:rFonts w:ascii="Arial" w:cs="Arial" w:eastAsia="Arial" w:hAnsi="Arial"/>
      <w:b/>
      <w:bCs/>
      <w:color w:val="1D1D1F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120" w:before="320"/>
      <w:outlineLvl w:val="2"/>
    </w:pPr>
    <w:rPr>
      <w:rFonts w:ascii="Arial" w:cs="Arial" w:eastAsia="Arial" w:hAnsi="Arial"/>
      <w:b/>
      <w:bCs/>
      <w:color w:val="1D1D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Velo Working — Brand Design Guidelines</dc:title>
  <dc:creator>Velo Working</dc:creator>
  <dc:description>Apple-inspired brand system distilled from veloworking.com for Canva Brand Kit import.</dc:description>
  <cp:lastModifiedBy>Un-named</cp:lastModifiedBy>
  <cp:revision>1</cp:revision>
  <dcterms:created xsi:type="dcterms:W3CDTF">2026-05-08T09:46:06.822Z</dcterms:created>
  <dcterms:modified xsi:type="dcterms:W3CDTF">2026-05-08T09:46:06.822Z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