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i w:val="0"/>
          <w:sz w:val="32"/>
        </w:rPr>
        <w:t>ViralSafeTarget: evidence-aware, virus-first CRISPR target prioritization with an exhaustive HSV-2 case study</w:t>
      </w:r>
    </w:p>
    <w:p>
      <w:pPr>
        <w:spacing w:after="80"/>
        <w:jc w:val="center"/>
      </w:pPr>
      <w:r>
        <w:rPr>
          <w:rFonts w:ascii="Times New Roman" w:hAnsi="Times New Roman"/>
          <w:b/>
          <w:i w:val="0"/>
          <w:sz w:val="24"/>
        </w:rPr>
        <w:t>Software Article — BMC Bioinformatics</w:t>
      </w:r>
    </w:p>
    <w:p>
      <w:pPr>
        <w:spacing w:after="80"/>
        <w:jc w:val="center"/>
      </w:pPr>
      <w:r>
        <w:rPr>
          <w:rFonts w:ascii="Times New Roman" w:hAnsi="Times New Roman"/>
          <w:b/>
          <w:i w:val="0"/>
          <w:color w:val="B42318"/>
          <w:sz w:val="24"/>
        </w:rPr>
        <w:t>DO NOT SUBMIT — HUMAN REVIEW PENDING</w:t>
      </w:r>
    </w:p>
    <w:p>
      <w:pPr>
        <w:spacing w:after="80"/>
        <w:jc w:val="center"/>
      </w:pPr>
      <w:r>
        <w:rPr>
          <w:rFonts w:ascii="Times New Roman" w:hAnsi="Times New Roman"/>
          <w:b w:val="0"/>
          <w:i w:val="0"/>
          <w:sz w:val="24"/>
        </w:rPr>
        <w:t>Ron Nuriel¹* · Sarel Cohen¹</w:t>
      </w:r>
    </w:p>
    <w:p>
      <w:pPr>
        <w:spacing w:after="80"/>
        <w:jc w:val="center"/>
      </w:pPr>
      <w:r>
        <w:rPr>
          <w:rFonts w:ascii="Times New Roman" w:hAnsi="Times New Roman"/>
          <w:b w:val="0"/>
          <w:i w:val="0"/>
          <w:sz w:val="20"/>
        </w:rPr>
        <w:t>Ron Nuriel ORCID: 0009-0008-3970-2591</w:t>
      </w:r>
    </w:p>
    <w:p>
      <w:pPr>
        <w:spacing w:after="80"/>
        <w:jc w:val="center"/>
      </w:pPr>
      <w:r>
        <w:rPr>
          <w:rFonts w:ascii="Times New Roman" w:hAnsi="Times New Roman"/>
          <w:b w:val="0"/>
          <w:i w:val="0"/>
          <w:sz w:val="20"/>
        </w:rPr>
        <w:t>Sarel Cohen ORCID: 0000-0003-4578-1245</w:t>
      </w:r>
    </w:p>
    <w:p>
      <w:pPr>
        <w:spacing w:after="80"/>
        <w:jc w:val="center"/>
      </w:pPr>
      <w:r>
        <w:rPr>
          <w:rFonts w:ascii="Times New Roman" w:hAnsi="Times New Roman"/>
          <w:b w:val="0"/>
          <w:i w:val="0"/>
          <w:sz w:val="22"/>
        </w:rPr>
        <w:t>¹[AFFILIATION 1 REQUIRED]</w:t>
      </w:r>
    </w:p>
    <w:p>
      <w:pPr>
        <w:spacing w:after="80"/>
        <w:jc w:val="center"/>
      </w:pPr>
      <w:r>
        <w:rPr>
          <w:rFonts w:ascii="Times New Roman" w:hAnsi="Times New Roman"/>
          <w:b w:val="0"/>
          <w:i w:val="0"/>
          <w:sz w:val="22"/>
        </w:rPr>
        <w:t>*Correspondence: ron.nuriel01@post.runi.ac.il</w:t>
      </w:r>
    </w:p>
    <w:p>
      <w:pPr>
        <w:pStyle w:val="Heading1"/>
      </w:pPr>
      <w:r>
        <w:t>Abstract</w:t>
      </w:r>
    </w:p>
    <w:p>
      <w:pPr>
        <w:pStyle w:val="Heading2"/>
      </w:pPr>
      <w:r>
        <w:t>Background</w:t>
      </w:r>
    </w:p>
    <w:p>
      <w:pPr>
        <w:widowControl/>
      </w:pPr>
      <w:r>
        <w:rPr>
          <w:rFonts w:ascii="Times New Roman" w:hAnsi="Times New Roman"/>
          <w:b w:val="0"/>
          <w:i w:val="0"/>
          <w:sz w:val="24"/>
        </w:rPr>
        <w:t>Guide-design software commonly emphasizes sequence-level activity features and predicted host off-targets. Viral target selection poses a broader decision problem: candidate sites should also be evaluated across viral strains, mapped to gene and protein context, distinguished from gene-level targetability, linked to biological evidence with species provenance, and considered as multiplex panels with explicit sequence-level escape assumptions.</w:t>
      </w:r>
    </w:p>
    <w:p>
      <w:pPr>
        <w:pStyle w:val="Heading2"/>
      </w:pPr>
      <w:r>
        <w:t>Results</w:t>
      </w:r>
    </w:p>
    <w:p>
      <w:pPr>
        <w:widowControl/>
      </w:pPr>
      <w:r>
        <w:rPr>
          <w:rFonts w:ascii="Times New Roman" w:hAnsi="Times New Roman"/>
          <w:b w:val="0"/>
          <w:i w:val="0"/>
          <w:sz w:val="24"/>
        </w:rPr>
        <w:t>We developed ViralSafeTarget, an open and reproducible framework that keeps these decision axes separate. In an exhaustive herpes simplex virus 2 (HSV-2) case study, 28,578 initial candidate coordinates yielded 23,108 eligible rows and 21,654 unique guide sequences. A completed 109-batch Cas-OFFinder search against GRCh38.p14 retained 440,341 predicted human-match rows; 2,668 candidate-coordinate rows had no predicted human hit within the declared assembly, PAM and mismatch model. UL3, UL10 and UL52 led the gene-targetability ranking, whereas the highest-ranked individual guide mapped to UL36, whose gene-level portfolio ranked 21st. A frozen 257-guide panel produced 271 guide-to-CDS mappings, 5,691 bounded indel hypotheses and 17,733 single-nucleotide exact-target counterfactuals. Four configured three-guide panels each required at least three distinct substitutions to remove every exact guide/PAM target; this is a sequence-level barrier, not an evolutionary probability. On the same frozen panel, Cas-OFFinder and CRISPRitz host-search ranks showed Spearman correlation 0.880 and top-50 overlap 49/50. ViralSafeTarget pre- and post-host ranks correlated at 0.962.</w:t>
      </w:r>
    </w:p>
    <w:p>
      <w:pPr>
        <w:pStyle w:val="Heading2"/>
      </w:pPr>
      <w:r>
        <w:t>Conclusions</w:t>
      </w:r>
    </w:p>
    <w:p>
      <w:pPr>
        <w:widowControl/>
      </w:pPr>
      <w:r>
        <w:rPr>
          <w:rFonts w:ascii="Times New Roman" w:hAnsi="Times New Roman"/>
          <w:b w:val="0"/>
          <w:i w:val="0"/>
          <w:sz w:val="24"/>
        </w:rPr>
        <w:t>ViralSafeTarget provides auditable decision support from viral genomes to research shortlists while preserving missing data and evidence provenance. The HSV-2 analysis shows that top individual guides, targetable genes and biologically established targets are distinct concepts. Results are computational hypotheses for independent review and do not establish editing, host safety, viral inhibition, delivery, treatment or cure.</w:t>
      </w:r>
    </w:p>
    <w:p>
      <w:pPr>
        <w:widowControl/>
      </w:pPr>
      <w:r>
        <w:rPr>
          <w:rFonts w:ascii="Times New Roman" w:hAnsi="Times New Roman"/>
          <w:b/>
          <w:i w:val="0"/>
          <w:sz w:val="24"/>
        </w:rPr>
        <w:t>Keywords:</w:t>
      </w:r>
      <w:r>
        <w:rPr>
          <w:rFonts w:ascii="Times New Roman" w:hAnsi="Times New Roman"/>
          <w:b w:val="0"/>
          <w:i w:val="0"/>
          <w:sz w:val="24"/>
        </w:rPr>
        <w:t xml:space="preserve"> CRISPR; viral genomics; HSV-2; guide RNA; off-target screening; multi-strain conservation; evidence provenance; reproducible bioinformatics</w:t>
      </w:r>
    </w:p>
    <w:p>
      <w:pPr>
        <w:pStyle w:val="Heading1"/>
      </w:pPr>
      <w:r>
        <w:t>Background</w:t>
      </w:r>
    </w:p>
    <w:p>
      <w:pPr>
        <w:widowControl/>
      </w:pPr>
      <w:r>
        <w:rPr>
          <w:rFonts w:ascii="Times New Roman" w:hAnsi="Times New Roman"/>
          <w:b w:val="0"/>
          <w:i w:val="0"/>
          <w:sz w:val="24"/>
        </w:rPr>
        <w:t>CRISPR-associated nucleases are programmable by short guide sequences, making target selection a central computational step in genome editing [1]. Mature tools such as CRISPOR and CHOPCHOP support guide design, activity scoring and predicted off-target assessment [2,3], while Cas-OFFinder, CRISPRitz and GuideScan2 emphasize scalable specificity or off-target analyses [4–6]. These capabilities are complementary rather than interchangeable.</w:t>
      </w:r>
    </w:p>
    <w:p>
      <w:pPr>
        <w:widowControl/>
      </w:pPr>
      <w:r>
        <w:rPr>
          <w:rFonts w:ascii="Times New Roman" w:hAnsi="Times New Roman"/>
          <w:b w:val="0"/>
          <w:i w:val="0"/>
          <w:sz w:val="24"/>
        </w:rPr>
        <w:t>For a virus, a technically attractive guide may be absent from circulating strains, may fall in a gene of uncertain relevance, or may produce limited predicted coding disruption. Conversely, a classically important viral gene may offer fewer conserved and host-distinct sites. A single composite “therapeutic” score would obscure these differences and overstate what sequence analysis can establish.</w:t>
      </w:r>
    </w:p>
    <w:p>
      <w:pPr>
        <w:widowControl/>
      </w:pPr>
      <w:r>
        <w:rPr>
          <w:rFonts w:ascii="Times New Roman" w:hAnsi="Times New Roman"/>
          <w:b w:val="0"/>
          <w:i w:val="0"/>
          <w:sz w:val="24"/>
        </w:rPr>
        <w:t>ViralSafeTarget was designed as a virus-first framework that integrates existing alignment and host-search engines with reproducible viral-population analysis, one-to-many annotation mapping, separate guide- and gene-level rankings, bounded coding-disruption hypotheses, source-provenanced literature evidence, and configured multiplex comparisons. Its intended output is an auditable research shortlist, not a clinical recommendation.</w:t>
      </w:r>
    </w:p>
    <w:p>
      <w:pPr>
        <w:widowControl/>
      </w:pPr>
      <w:r>
        <w:rPr>
          <w:rFonts w:ascii="Times New Roman" w:hAnsi="Times New Roman"/>
          <w:b w:val="0"/>
          <w:i w:val="0"/>
          <w:sz w:val="24"/>
        </w:rPr>
        <w:t>We report the software architecture and an exhaustive HSV-2 computational case study. The case study tests three methodological propositions: (i) guide rank and gene-level targetability can diverge; (ii) model-bounded host-search agreement is an axis distinct from virus-first composite ranking; and (iii) exact-target robustness of a multiplex panel can be represented reproducibly without claiming evolutionary probability.</w:t>
      </w:r>
    </w:p>
    <w:p>
      <w:pPr>
        <w:pStyle w:val="Heading1"/>
      </w:pPr>
      <w:r>
        <w:t>Implementation</w:t>
      </w:r>
    </w:p>
    <w:p>
      <w:pPr>
        <w:pStyle w:val="Heading2"/>
      </w:pPr>
      <w:r>
        <w:t>Software architecture and project contract</w:t>
      </w:r>
    </w:p>
    <w:p>
      <w:pPr>
        <w:widowControl/>
      </w:pPr>
      <w:r>
        <w:rPr>
          <w:rFonts w:ascii="Times New Roman" w:hAnsi="Times New Roman"/>
          <w:b w:val="0"/>
          <w:i w:val="0"/>
          <w:sz w:val="24"/>
        </w:rPr>
        <w:t xml:space="preserve">ViralSafeTarget 0.10.0 is implemented in Python and distributed as the </w:t>
      </w:r>
      <w:r>
        <w:rPr>
          <w:rFonts w:ascii="Courier New" w:hAnsi="Courier New"/>
          <w:sz w:val="20"/>
        </w:rPr>
        <w:t>viral-safe-target</w:t>
      </w:r>
      <w:r>
        <w:rPr>
          <w:rFonts w:ascii="Times New Roman" w:hAnsi="Times New Roman"/>
          <w:b w:val="0"/>
          <w:i w:val="0"/>
          <w:sz w:val="24"/>
        </w:rPr>
        <w:t xml:space="preserve"> package with the </w:t>
      </w:r>
      <w:r>
        <w:rPr>
          <w:rFonts w:ascii="Courier New" w:hAnsi="Courier New"/>
          <w:sz w:val="20"/>
        </w:rPr>
        <w:t>vst</w:t>
      </w:r>
      <w:r>
        <w:rPr>
          <w:rFonts w:ascii="Times New Roman" w:hAnsi="Times New Roman"/>
          <w:b w:val="0"/>
          <w:i w:val="0"/>
          <w:sz w:val="24"/>
        </w:rPr>
        <w:t xml:space="preserve"> command-line interface. A project is defined by versioned virus, host and nuclease profiles plus a project configuration. The same public commands support initialization, validation, planning, execution, resumption, status reporting, opening a primary HTML report, and exporting a portable result bundle.</w:t>
      </w:r>
    </w:p>
    <w:p>
      <w:pPr>
        <w:widowControl/>
      </w:pPr>
      <w:r>
        <w:rPr>
          <w:rFonts w:ascii="Times New Roman" w:hAnsi="Times New Roman"/>
          <w:b w:val="0"/>
          <w:i w:val="0"/>
          <w:sz w:val="24"/>
        </w:rPr>
        <w:t>Each stage records input checksums, parameters, tool versions, explicit missing or external-required states, measured timings and output paths. Cached stages are reused only when their signatures remain valid. Missing external results are never converted to zero predicted hits.</w:t>
      </w:r>
    </w:p>
    <w:p>
      <w:pPr>
        <w:pStyle w:val="Heading2"/>
      </w:pPr>
      <w:r>
        <w:t>Viral inputs, quality control and conservation</w:t>
      </w:r>
    </w:p>
    <w:p>
      <w:pPr>
        <w:widowControl/>
      </w:pPr>
      <w:r>
        <w:rPr>
          <w:rFonts w:ascii="Times New Roman" w:hAnsi="Times New Roman"/>
          <w:b w:val="0"/>
          <w:i w:val="0"/>
          <w:sz w:val="24"/>
        </w:rPr>
        <w:t>The HSV-2 reference was RefSeq accession NC_001798.2. Discovery used a frozen set of 14 accepted HSV-2 genomes after explicit quality-control rejection of incomplete, length-incompatible or ambiguity-heavy records. Viral sequences were aligned with MAFFT [7]. Candidate support was measured as exact protospacer-plus-PAM presence across accepted genomes; a separate held-out sequence collection was retained for population support analysis when loci were observable.</w:t>
      </w:r>
    </w:p>
    <w:p>
      <w:pPr>
        <w:pStyle w:val="Heading2"/>
      </w:pPr>
      <w:r>
        <w:t>Candidate enumeration and annotation mapping</w:t>
      </w:r>
    </w:p>
    <w:p>
      <w:pPr>
        <w:widowControl/>
      </w:pPr>
      <w:r>
        <w:rPr>
          <w:rFonts w:ascii="Times New Roman" w:hAnsi="Times New Roman"/>
          <w:b w:val="0"/>
          <w:i w:val="0"/>
          <w:sz w:val="24"/>
        </w:rPr>
        <w:t>The reference genome was scanned for configured SpCas9 targets consisting of a 20-nucleotide protospacer adjacent to an NGG PAM. Sequence features included GC balance, complexity, viral occurrence counts, exact strain coverage and annotation context. Coordinates were mapped to GFF3 gene and CDS features. Overlapping annotations were preserved as one-to-many mappings rather than collapsed to a single label. CDS strand and phase were used to map cut coordinates to coding and protein positions.</w:t>
      </w:r>
    </w:p>
    <w:p>
      <w:pPr>
        <w:pStyle w:val="Heading2"/>
      </w:pPr>
      <w:r>
        <w:t>Host-genome screening</w:t>
      </w:r>
    </w:p>
    <w:p>
      <w:pPr>
        <w:widowControl/>
      </w:pPr>
      <w:r>
        <w:rPr>
          <w:rFonts w:ascii="Times New Roman" w:hAnsi="Times New Roman"/>
          <w:b w:val="0"/>
          <w:i w:val="0"/>
          <w:sz w:val="24"/>
        </w:rPr>
        <w:t>Eligible candidate sequences were screened against the GRCh38.p14 reference assembly (GCF_000001405.40) with Cas-OFFinder 2.4.1 [4], using the configured NGG PAM and up to three mismatches. The exhaustive workflow was divided into 109 checksum-resumable batches. A completed search with zero returned sites was distinguished from a pending, failed or missing batch. “Zero predicted hit” therefore always refers to this bounded reference-assembly search and is not evidence of biological safety.</w:t>
      </w:r>
    </w:p>
    <w:p>
      <w:pPr>
        <w:pStyle w:val="Heading2"/>
      </w:pPr>
      <w:r>
        <w:t>Guide and gene targetability</w:t>
      </w:r>
    </w:p>
    <w:p>
      <w:pPr>
        <w:widowControl/>
      </w:pPr>
      <w:r>
        <w:rPr>
          <w:rFonts w:ascii="Times New Roman" w:hAnsi="Times New Roman"/>
          <w:b w:val="0"/>
          <w:i w:val="0"/>
          <w:sz w:val="24"/>
        </w:rPr>
        <w:t>Guide-level ranks retained conservation, viral uniqueness, GC, sequence complexity, annotation and model-bounded host-search components with transparent explanations. Gene-level targetability was computed separately from the portfolio of eligible and screened candidates per annotated gene. It included the best candidate, robustness of leading candidates, the lower confidence bound on the clean fraction, host-hit burden and conservation. Biological evidence was reported separately and was not added to the exhaustive gene-targetability score.</w:t>
      </w:r>
    </w:p>
    <w:p>
      <w:pPr>
        <w:pStyle w:val="Heading2"/>
      </w:pPr>
      <w:r>
        <w:t>Virtual coding-disruption hypotheses</w:t>
      </w:r>
    </w:p>
    <w:p>
      <w:pPr>
        <w:widowControl/>
      </w:pPr>
      <w:r>
        <w:rPr>
          <w:rFonts w:ascii="Times New Roman" w:hAnsi="Times New Roman"/>
          <w:b w:val="0"/>
          <w:i w:val="0"/>
          <w:sz w:val="24"/>
        </w:rPr>
        <w:t>For each guide-to-CDS mapping, integer indel sizes from −10 through +10 bp were enumerated. Indel class, reading-frame remainder, determinable premature-stop position, retained protein fraction and overlap with optional domain or disorder annotations were reported. Insertions were represented by size only when their sequence was unknown. Fractions over the equally weighted size grid are descriptive hypotheses and are not repair probabilities.</w:t>
      </w:r>
    </w:p>
    <w:p>
      <w:pPr>
        <w:pStyle w:val="Heading2"/>
      </w:pPr>
      <w:r>
        <w:t>Exact-target escape counterfactuals and multiplex panels</w:t>
      </w:r>
    </w:p>
    <w:p>
      <w:pPr>
        <w:widowControl/>
      </w:pPr>
      <w:r>
        <w:rPr>
          <w:rFonts w:ascii="Times New Roman" w:hAnsi="Times New Roman"/>
          <w:b w:val="0"/>
          <w:i w:val="0"/>
          <w:sz w:val="24"/>
        </w:rPr>
        <w:t>All three alternative bases at every protospacer and PAM position were enumerated for the frozen panel. A substitution was classified by whether it removed the exact protospacer/PAM target under the configured IUPAC PAM pattern. For each configured multiplex panel, an exact set-cover calculation identified the minimum number of distinct substitutions required to remove all exact sites. This quantity omits mutation rates, mismatch-tolerant cutting, viral fitness, selection, linkage and population dynamics; it is not an evolutionary escape probability.</w:t>
      </w:r>
    </w:p>
    <w:p>
      <w:pPr>
        <w:pStyle w:val="Heading2"/>
      </w:pPr>
      <w:r>
        <w:t>Evidence Agent and mandatory human review</w:t>
      </w:r>
    </w:p>
    <w:p>
      <w:pPr>
        <w:widowControl/>
      </w:pPr>
      <w:r>
        <w:rPr>
          <w:rFonts w:ascii="Times New Roman" w:hAnsi="Times New Roman"/>
          <w:b w:val="0"/>
          <w:i w:val="0"/>
          <w:sz w:val="24"/>
        </w:rPr>
        <w:t>The Evidence Agent generates gene- and virus-aware queries, retrieves structured records from PubMed, Europe PMC, UniProt and NCBI, and proposes evidence rows with tested virus, experiment, phenotype, source and directness. AI-generated proposals do not affect biological scores until approved by a named domain-qualified reviewer. Evidence from HSV-1 orthologs remains separate from direct HSV-2 evidence. Biological interpretations marked with an asterisk in this working manuscript remain pending human verification.*</w:t>
      </w:r>
    </w:p>
    <w:p>
      <w:pPr>
        <w:pStyle w:val="Heading2"/>
      </w:pPr>
      <w:r>
        <w:t>Systematic multi-tool benchmark</w:t>
      </w:r>
    </w:p>
    <w:p>
      <w:pPr>
        <w:widowControl/>
      </w:pPr>
      <w:r>
        <w:rPr>
          <w:rFonts w:ascii="Times New Roman" w:hAnsi="Times New Roman"/>
          <w:b w:val="0"/>
          <w:i w:val="0"/>
          <w:sz w:val="24"/>
        </w:rPr>
        <w:t>A 257-guide panel was frozen before comparison. ViralSafeTarget pre-host and post-host ranks, Cas-OFFinder hit-burden ranks, and CRISPRitz 2.6.6 profile ranks were normalized within tool. The independent CRISPRitz run used its official container image digest, GRCh38.p14, NGG, up to three mismatches, eight threads, and no bulge or population-variant options [5]. Raw scores from different systems were not averaged. CRISPOR, CHOPCHOP and GuideScan2 were included in a source-based capability matrix but remained export-required in the quantitative benchmark because no raw export was committed.</w:t>
      </w:r>
    </w:p>
    <w:p>
      <w:pPr>
        <w:widowControl/>
      </w:pPr>
      <w:r>
        <w:rPr>
          <w:rFonts w:ascii="Times New Roman" w:hAnsi="Times New Roman"/>
          <w:b w:val="0"/>
          <w:i w:val="0"/>
          <w:sz w:val="24"/>
        </w:rPr>
        <w:t>Rank agreement used Spearman correlation on shared candidates. Top-k overlap was reported for k = 10, 25 and 50. A leave-one-component-out analysis recomputed the transparent ViralSafeTarget score after omitting each configured component; it is a sensitivity diagnostic, not model training or biological validation.</w:t>
      </w:r>
    </w:p>
    <w:p>
      <w:pPr>
        <w:pStyle w:val="Heading2"/>
      </w:pPr>
      <w:r>
        <w:t>Reproducibility, portability and generative-AI disclosure</w:t>
      </w:r>
    </w:p>
    <w:p>
      <w:pPr>
        <w:widowControl/>
      </w:pPr>
      <w:r>
        <w:rPr>
          <w:rFonts w:ascii="Times New Roman" w:hAnsi="Times New Roman"/>
          <w:b w:val="0"/>
          <w:i w:val="0"/>
          <w:sz w:val="24"/>
        </w:rPr>
        <w:t>The installed wheel was tested outside the repository checkout. A reference-only BK polyomavirus workflow (NC_001538.1) used the same CLI and schemas without a virus-specific branch in core code. Unavailable host and population stages remained explicitly unavailable. This demonstrates software portability, not biological generalization.</w:t>
      </w:r>
    </w:p>
    <w:p>
      <w:pPr>
        <w:widowControl/>
      </w:pPr>
      <w:r>
        <w:rPr>
          <w:rFonts w:ascii="Times New Roman" w:hAnsi="Times New Roman"/>
          <w:b w:val="0"/>
          <w:i w:val="0"/>
          <w:sz w:val="24"/>
        </w:rPr>
        <w:t>Generative AI assisted with code organization, documentation, literature-query preparation and manuscript language. All numerical outputs reported here were generated by versioned software from committed machine-readable sources and are checked by build assertions. AI is not an author. Biological claims and source interpretations marked with an asterisk remain pending author or domain-expert verification.*</w:t>
      </w:r>
    </w:p>
    <w:p>
      <w:pPr>
        <w:pStyle w:val="Heading1"/>
      </w:pPr>
      <w:r>
        <w:t>Results</w:t>
      </w:r>
    </w:p>
    <w:p>
      <w:pPr>
        <w:pStyle w:val="Heading2"/>
      </w:pPr>
      <w:r>
        <w:t>Exhaustive HSV-2 source validation</w:t>
      </w:r>
    </w:p>
    <w:p>
      <w:pPr>
        <w:pStyle w:val="TableTitle"/>
      </w:pPr>
      <w:r>
        <w:t>Table 1. Exhaustive HSV-2 analysis summary</w:t>
      </w:r>
    </w:p>
    <w:tbl>
      <w:tblPr>
        <w:tblStyle w:val="TableGrid"/>
        <w:tblW w:type="dxa" w:w="9360"/>
        <w:tblLayout w:type="fixed"/>
        <w:tblLook w:firstColumn="1" w:firstRow="1" w:lastColumn="0" w:lastRow="0" w:noHBand="0" w:noVBand="1" w:val="04A0"/>
        <w:tblInd w:w="120" w:type="dxa"/>
      </w:tblPr>
      <w:tblGrid>
        <w:gridCol w:w="6600"/>
        <w:gridCol w:w="2760"/>
      </w:tblGrid>
      <w:tr>
        <w:trPr>
          <w:tblHeader w:val="true"/>
        </w:trPr>
        <w:tc>
          <w:tcPr>
            <w:tcW w:type="dxa" w:w="6600"/>
            <w:tcMar>
              <w:top w:w="90" w:type="dxa"/>
              <w:start w:w="120" w:type="dxa"/>
              <w:bottom w:w="90" w:type="dxa"/>
              <w:end w:w="120" w:type="dxa"/>
            </w:tcMar>
            <w:vAlign w:val="center"/>
          </w:tcPr>
          <w:p>
            <w:pPr>
              <w:jc w:val="center"/>
            </w:pPr>
            <w:r>
              <w:rPr>
                <w:rFonts w:ascii="Times New Roman" w:hAnsi="Times New Roman"/>
                <w:b/>
                <w:i w:val="0"/>
                <w:sz w:val="18"/>
              </w:rPr>
              <w:t>Metric</w:t>
            </w:r>
          </w:p>
        </w:tc>
        <w:tc>
          <w:tcPr>
            <w:tcW w:type="dxa" w:w="2760"/>
            <w:tcMar>
              <w:top w:w="90" w:type="dxa"/>
              <w:start w:w="120" w:type="dxa"/>
              <w:bottom w:w="90" w:type="dxa"/>
              <w:end w:w="120" w:type="dxa"/>
            </w:tcMar>
            <w:vAlign w:val="center"/>
          </w:tcPr>
          <w:p>
            <w:pPr>
              <w:jc w:val="center"/>
            </w:pPr>
            <w:r>
              <w:rPr>
                <w:rFonts w:ascii="Times New Roman" w:hAnsi="Times New Roman"/>
                <w:b/>
                <w:i w:val="0"/>
                <w:sz w:val="18"/>
              </w:rPr>
              <w:t>Verified value</w:t>
            </w:r>
          </w:p>
        </w:tc>
      </w:tr>
      <w:tr>
        <w:tc>
          <w:tcPr>
            <w:tcW w:type="dxa" w:w="6600"/>
            <w:tcMar>
              <w:top w:w="90" w:type="dxa"/>
              <w:start w:w="120" w:type="dxa"/>
              <w:bottom w:w="90" w:type="dxa"/>
              <w:end w:w="120" w:type="dxa"/>
            </w:tcMar>
            <w:vAlign w:val="center"/>
          </w:tcPr>
          <w:p>
            <w:r>
              <w:rPr>
                <w:rFonts w:ascii="Times New Roman" w:hAnsi="Times New Roman"/>
                <w:b w:val="0"/>
                <w:i w:val="0"/>
                <w:sz w:val="18"/>
              </w:rPr>
              <w:t>Initial candidate coordinates</w:t>
            </w:r>
          </w:p>
        </w:tc>
        <w:tc>
          <w:tcPr>
            <w:tcW w:type="dxa" w:w="2760"/>
            <w:tcMar>
              <w:top w:w="90" w:type="dxa"/>
              <w:start w:w="120" w:type="dxa"/>
              <w:bottom w:w="90" w:type="dxa"/>
              <w:end w:w="120" w:type="dxa"/>
            </w:tcMar>
            <w:vAlign w:val="center"/>
          </w:tcPr>
          <w:p>
            <w:r>
              <w:rPr>
                <w:rFonts w:ascii="Times New Roman" w:hAnsi="Times New Roman"/>
                <w:b w:val="0"/>
                <w:i w:val="0"/>
                <w:sz w:val="18"/>
              </w:rPr>
              <w:t>28,578</w:t>
            </w:r>
          </w:p>
        </w:tc>
      </w:tr>
      <w:tr>
        <w:tc>
          <w:tcPr>
            <w:tcW w:type="dxa" w:w="6600"/>
            <w:tcMar>
              <w:top w:w="90" w:type="dxa"/>
              <w:start w:w="120" w:type="dxa"/>
              <w:bottom w:w="90" w:type="dxa"/>
              <w:end w:w="120" w:type="dxa"/>
            </w:tcMar>
            <w:vAlign w:val="center"/>
          </w:tcPr>
          <w:p>
            <w:r>
              <w:rPr>
                <w:rFonts w:ascii="Times New Roman" w:hAnsi="Times New Roman"/>
                <w:b w:val="0"/>
                <w:i w:val="0"/>
                <w:sz w:val="18"/>
              </w:rPr>
              <w:t>Eligible candidate-coordinate rows</w:t>
            </w:r>
          </w:p>
        </w:tc>
        <w:tc>
          <w:tcPr>
            <w:tcW w:type="dxa" w:w="2760"/>
            <w:tcMar>
              <w:top w:w="90" w:type="dxa"/>
              <w:start w:w="120" w:type="dxa"/>
              <w:bottom w:w="90" w:type="dxa"/>
              <w:end w:w="120" w:type="dxa"/>
            </w:tcMar>
            <w:vAlign w:val="center"/>
          </w:tcPr>
          <w:p>
            <w:r>
              <w:rPr>
                <w:rFonts w:ascii="Times New Roman" w:hAnsi="Times New Roman"/>
                <w:b w:val="0"/>
                <w:i w:val="0"/>
                <w:sz w:val="18"/>
              </w:rPr>
              <w:t>23,108</w:t>
            </w:r>
          </w:p>
        </w:tc>
      </w:tr>
      <w:tr>
        <w:tc>
          <w:tcPr>
            <w:tcW w:type="dxa" w:w="6600"/>
            <w:tcMar>
              <w:top w:w="90" w:type="dxa"/>
              <w:start w:w="120" w:type="dxa"/>
              <w:bottom w:w="90" w:type="dxa"/>
              <w:end w:w="120" w:type="dxa"/>
            </w:tcMar>
            <w:vAlign w:val="center"/>
          </w:tcPr>
          <w:p>
            <w:r>
              <w:rPr>
                <w:rFonts w:ascii="Times New Roman" w:hAnsi="Times New Roman"/>
                <w:b w:val="0"/>
                <w:i w:val="0"/>
                <w:sz w:val="18"/>
              </w:rPr>
              <w:t>Unique guide sequences</w:t>
            </w:r>
          </w:p>
        </w:tc>
        <w:tc>
          <w:tcPr>
            <w:tcW w:type="dxa" w:w="2760"/>
            <w:tcMar>
              <w:top w:w="90" w:type="dxa"/>
              <w:start w:w="120" w:type="dxa"/>
              <w:bottom w:w="90" w:type="dxa"/>
              <w:end w:w="120" w:type="dxa"/>
            </w:tcMar>
            <w:vAlign w:val="center"/>
          </w:tcPr>
          <w:p>
            <w:r>
              <w:rPr>
                <w:rFonts w:ascii="Times New Roman" w:hAnsi="Times New Roman"/>
                <w:b w:val="0"/>
                <w:i w:val="0"/>
                <w:sz w:val="18"/>
              </w:rPr>
              <w:t>21,654</w:t>
            </w:r>
          </w:p>
        </w:tc>
      </w:tr>
      <w:tr>
        <w:tc>
          <w:tcPr>
            <w:tcW w:type="dxa" w:w="6600"/>
            <w:tcMar>
              <w:top w:w="90" w:type="dxa"/>
              <w:start w:w="120" w:type="dxa"/>
              <w:bottom w:w="90" w:type="dxa"/>
              <w:end w:w="120" w:type="dxa"/>
            </w:tcMar>
            <w:vAlign w:val="center"/>
          </w:tcPr>
          <w:p>
            <w:r>
              <w:rPr>
                <w:rFonts w:ascii="Times New Roman" w:hAnsi="Times New Roman"/>
                <w:b w:val="0"/>
                <w:i w:val="0"/>
                <w:sz w:val="18"/>
              </w:rPr>
              <w:t>Cas-OFFinder batches completed</w:t>
            </w:r>
          </w:p>
        </w:tc>
        <w:tc>
          <w:tcPr>
            <w:tcW w:type="dxa" w:w="2760"/>
            <w:tcMar>
              <w:top w:w="90" w:type="dxa"/>
              <w:start w:w="120" w:type="dxa"/>
              <w:bottom w:w="90" w:type="dxa"/>
              <w:end w:w="120" w:type="dxa"/>
            </w:tcMar>
            <w:vAlign w:val="center"/>
          </w:tcPr>
          <w:p>
            <w:r>
              <w:rPr>
                <w:rFonts w:ascii="Times New Roman" w:hAnsi="Times New Roman"/>
                <w:b w:val="0"/>
                <w:i w:val="0"/>
                <w:sz w:val="18"/>
              </w:rPr>
              <w:t>109/109</w:t>
            </w:r>
          </w:p>
        </w:tc>
      </w:tr>
      <w:tr>
        <w:tc>
          <w:tcPr>
            <w:tcW w:type="dxa" w:w="6600"/>
            <w:tcMar>
              <w:top w:w="90" w:type="dxa"/>
              <w:start w:w="120" w:type="dxa"/>
              <w:bottom w:w="90" w:type="dxa"/>
              <w:end w:w="120" w:type="dxa"/>
            </w:tcMar>
            <w:vAlign w:val="center"/>
          </w:tcPr>
          <w:p>
            <w:r>
              <w:rPr>
                <w:rFonts w:ascii="Times New Roman" w:hAnsi="Times New Roman"/>
                <w:b w:val="0"/>
                <w:i w:val="0"/>
                <w:sz w:val="18"/>
              </w:rPr>
              <w:t>Predicted human-match rows</w:t>
            </w:r>
          </w:p>
        </w:tc>
        <w:tc>
          <w:tcPr>
            <w:tcW w:type="dxa" w:w="2760"/>
            <w:tcMar>
              <w:top w:w="90" w:type="dxa"/>
              <w:start w:w="120" w:type="dxa"/>
              <w:bottom w:w="90" w:type="dxa"/>
              <w:end w:w="120" w:type="dxa"/>
            </w:tcMar>
            <w:vAlign w:val="center"/>
          </w:tcPr>
          <w:p>
            <w:r>
              <w:rPr>
                <w:rFonts w:ascii="Times New Roman" w:hAnsi="Times New Roman"/>
                <w:b w:val="0"/>
                <w:i w:val="0"/>
                <w:sz w:val="18"/>
              </w:rPr>
              <w:t>440,341</w:t>
            </w:r>
          </w:p>
        </w:tc>
      </w:tr>
      <w:tr>
        <w:tc>
          <w:tcPr>
            <w:tcW w:type="dxa" w:w="6600"/>
            <w:tcMar>
              <w:top w:w="90" w:type="dxa"/>
              <w:start w:w="120" w:type="dxa"/>
              <w:bottom w:w="90" w:type="dxa"/>
              <w:end w:w="120" w:type="dxa"/>
            </w:tcMar>
            <w:vAlign w:val="center"/>
          </w:tcPr>
          <w:p>
            <w:r>
              <w:rPr>
                <w:rFonts w:ascii="Times New Roman" w:hAnsi="Times New Roman"/>
                <w:b w:val="0"/>
                <w:i w:val="0"/>
                <w:sz w:val="18"/>
              </w:rPr>
              <w:t>Zero-hit candidate rows under model</w:t>
            </w:r>
          </w:p>
        </w:tc>
        <w:tc>
          <w:tcPr>
            <w:tcW w:type="dxa" w:w="2760"/>
            <w:tcMar>
              <w:top w:w="90" w:type="dxa"/>
              <w:start w:w="120" w:type="dxa"/>
              <w:bottom w:w="90" w:type="dxa"/>
              <w:end w:w="120" w:type="dxa"/>
            </w:tcMar>
            <w:vAlign w:val="center"/>
          </w:tcPr>
          <w:p>
            <w:r>
              <w:rPr>
                <w:rFonts w:ascii="Times New Roman" w:hAnsi="Times New Roman"/>
                <w:b w:val="0"/>
                <w:i w:val="0"/>
                <w:sz w:val="18"/>
              </w:rPr>
              <w:t>2,668</w:t>
            </w:r>
          </w:p>
        </w:tc>
      </w:tr>
    </w:tbl>
    <w:p>
      <w:pPr>
        <w:spacing w:before="60" w:after="120" w:line="240" w:lineRule="auto"/>
      </w:pPr>
      <w:r>
        <w:rPr>
          <w:rFonts w:ascii="Times New Roman" w:hAnsi="Times New Roman"/>
          <w:b w:val="0"/>
          <w:i/>
          <w:sz w:val="18"/>
        </w:rPr>
        <w:t>Values are computational and model-bounded; missing evidence remains unknown.</w:t>
      </w:r>
    </w:p>
    <w:p>
      <w:pPr>
        <w:widowControl/>
      </w:pPr>
      <w:r>
        <w:rPr>
          <w:rFonts w:ascii="Times New Roman" w:hAnsi="Times New Roman"/>
          <w:b w:val="0"/>
          <w:i w:val="0"/>
          <w:sz w:val="24"/>
        </w:rPr>
        <w:t>The publication build revalidated every primary count before generating tables or figures (Table 1; Fig. 2). From 28,578 initial candidate coordinates, 23,108 were eligible after sequence and annotation filters. These corresponded to 21,654 unique guide sequences. All 109 Cas-OFFinder batches completed. The committed host-search table contained 440,341 predicted human-match rows, and 2,668 candidate-coordinate rows had no predicted match under the configured model.</w:t>
      </w:r>
    </w:p>
    <w:p>
      <w:pPr>
        <w:pStyle w:val="Heading2"/>
      </w:pPr>
      <w:r>
        <w:t>Guide rank and gene targetability diverged</w:t>
      </w:r>
    </w:p>
    <w:p>
      <w:pPr>
        <w:pStyle w:val="TableTitle"/>
      </w:pPr>
      <w:r>
        <w:t>Table 2. Selected HSV-2 gene-targetability results</w:t>
      </w:r>
    </w:p>
    <w:tbl>
      <w:tblPr>
        <w:tblStyle w:val="TableGrid"/>
        <w:tblW w:type="dxa" w:w="9360"/>
        <w:tblLayout w:type="fixed"/>
        <w:tblLook w:firstColumn="1" w:firstRow="1" w:lastColumn="0" w:lastRow="0" w:noHBand="0" w:noVBand="1" w:val="04A0"/>
        <w:tblInd w:w="120" w:type="dxa"/>
      </w:tblPr>
      <w:tblGrid>
        <w:gridCol w:w="900"/>
        <w:gridCol w:w="700"/>
        <w:gridCol w:w="900"/>
        <w:gridCol w:w="1250"/>
        <w:gridCol w:w="5610"/>
      </w:tblGrid>
      <w:tr>
        <w:trPr>
          <w:tblHeader w:val="true"/>
        </w:trPr>
        <w:tc>
          <w:tcPr>
            <w:tcW w:type="dxa" w:w="900"/>
            <w:tcMar>
              <w:top w:w="90" w:type="dxa"/>
              <w:start w:w="120" w:type="dxa"/>
              <w:bottom w:w="90" w:type="dxa"/>
              <w:end w:w="120" w:type="dxa"/>
            </w:tcMar>
            <w:vAlign w:val="center"/>
          </w:tcPr>
          <w:p>
            <w:pPr>
              <w:jc w:val="center"/>
            </w:pPr>
            <w:r>
              <w:rPr>
                <w:rFonts w:ascii="Times New Roman" w:hAnsi="Times New Roman"/>
                <w:b/>
                <w:i w:val="0"/>
                <w:sz w:val="18"/>
              </w:rPr>
              <w:t>Gene</w:t>
            </w:r>
          </w:p>
        </w:tc>
        <w:tc>
          <w:tcPr>
            <w:tcW w:type="dxa" w:w="700"/>
            <w:tcMar>
              <w:top w:w="90" w:type="dxa"/>
              <w:start w:w="120" w:type="dxa"/>
              <w:bottom w:w="90" w:type="dxa"/>
              <w:end w:w="120" w:type="dxa"/>
            </w:tcMar>
            <w:vAlign w:val="center"/>
          </w:tcPr>
          <w:p>
            <w:pPr>
              <w:jc w:val="center"/>
            </w:pPr>
            <w:r>
              <w:rPr>
                <w:rFonts w:ascii="Times New Roman" w:hAnsi="Times New Roman"/>
                <w:b/>
                <w:i w:val="0"/>
                <w:sz w:val="18"/>
              </w:rPr>
              <w:t>Rank</w:t>
            </w:r>
          </w:p>
        </w:tc>
        <w:tc>
          <w:tcPr>
            <w:tcW w:type="dxa" w:w="900"/>
            <w:tcMar>
              <w:top w:w="90" w:type="dxa"/>
              <w:start w:w="120" w:type="dxa"/>
              <w:bottom w:w="90" w:type="dxa"/>
              <w:end w:w="120" w:type="dxa"/>
            </w:tcMar>
            <w:vAlign w:val="center"/>
          </w:tcPr>
          <w:p>
            <w:pPr>
              <w:jc w:val="center"/>
            </w:pPr>
            <w:r>
              <w:rPr>
                <w:rFonts w:ascii="Times New Roman" w:hAnsi="Times New Roman"/>
                <w:b/>
                <w:i w:val="0"/>
                <w:sz w:val="18"/>
              </w:rPr>
              <w:t>Score</w:t>
            </w:r>
          </w:p>
        </w:tc>
        <w:tc>
          <w:tcPr>
            <w:tcW w:type="dxa" w:w="1250"/>
            <w:tcMar>
              <w:top w:w="90" w:type="dxa"/>
              <w:start w:w="120" w:type="dxa"/>
              <w:bottom w:w="90" w:type="dxa"/>
              <w:end w:w="120" w:type="dxa"/>
            </w:tcMar>
            <w:vAlign w:val="center"/>
          </w:tcPr>
          <w:p>
            <w:pPr>
              <w:jc w:val="center"/>
            </w:pPr>
            <w:r>
              <w:rPr>
                <w:rFonts w:ascii="Times New Roman" w:hAnsi="Times New Roman"/>
                <w:b/>
                <w:i w:val="0"/>
                <w:sz w:val="18"/>
              </w:rPr>
              <w:t>Zero-hit rows</w:t>
            </w:r>
          </w:p>
        </w:tc>
        <w:tc>
          <w:tcPr>
            <w:tcW w:type="dxa" w:w="5610"/>
            <w:tcMar>
              <w:top w:w="90" w:type="dxa"/>
              <w:start w:w="120" w:type="dxa"/>
              <w:bottom w:w="90" w:type="dxa"/>
              <w:end w:w="120" w:type="dxa"/>
            </w:tcMar>
            <w:vAlign w:val="center"/>
          </w:tcPr>
          <w:p>
            <w:pPr>
              <w:jc w:val="center"/>
            </w:pPr>
            <w:r>
              <w:rPr>
                <w:rFonts w:ascii="Times New Roman" w:hAnsi="Times New Roman"/>
                <w:b/>
                <w:i w:val="0"/>
                <w:sz w:val="18"/>
              </w:rPr>
              <w:t>Best candidate</w:t>
            </w:r>
          </w:p>
        </w:tc>
      </w:tr>
      <w:tr>
        <w:tc>
          <w:tcPr>
            <w:tcW w:type="dxa" w:w="900"/>
            <w:tcMar>
              <w:top w:w="90" w:type="dxa"/>
              <w:start w:w="120" w:type="dxa"/>
              <w:bottom w:w="90" w:type="dxa"/>
              <w:end w:w="120" w:type="dxa"/>
            </w:tcMar>
            <w:vAlign w:val="center"/>
          </w:tcPr>
          <w:p>
            <w:r>
              <w:rPr>
                <w:rFonts w:ascii="Times New Roman" w:hAnsi="Times New Roman"/>
                <w:b w:val="0"/>
                <w:i w:val="0"/>
                <w:sz w:val="18"/>
              </w:rPr>
              <w:t>UL3</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1</w:t>
            </w:r>
          </w:p>
        </w:tc>
        <w:tc>
          <w:tcPr>
            <w:tcW w:type="dxa" w:w="900"/>
            <w:tcMar>
              <w:top w:w="90" w:type="dxa"/>
              <w:start w:w="120" w:type="dxa"/>
              <w:bottom w:w="90" w:type="dxa"/>
              <w:end w:w="120" w:type="dxa"/>
            </w:tcMar>
            <w:vAlign w:val="center"/>
          </w:tcPr>
          <w:p>
            <w:r>
              <w:rPr>
                <w:rFonts w:ascii="Times New Roman" w:hAnsi="Times New Roman"/>
                <w:b w:val="0"/>
                <w:i w:val="0"/>
                <w:sz w:val="18"/>
              </w:rPr>
              <w:t>0.882</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24</w:t>
            </w:r>
          </w:p>
        </w:tc>
        <w:tc>
          <w:tcPr>
            <w:tcW w:type="dxa" w:w="5610"/>
            <w:tcMar>
              <w:top w:w="90" w:type="dxa"/>
              <w:start w:w="120" w:type="dxa"/>
              <w:bottom w:w="90" w:type="dxa"/>
              <w:end w:w="120" w:type="dxa"/>
            </w:tcMar>
            <w:vAlign w:val="center"/>
          </w:tcPr>
          <w:p>
            <w:r>
              <w:rPr>
                <w:rFonts w:ascii="Times New Roman" w:hAnsi="Times New Roman"/>
                <w:b w:val="0"/>
                <w:i w:val="0"/>
                <w:sz w:val="18"/>
              </w:rPr>
              <w:t>VST-5e4034e33559c37a</w:t>
            </w:r>
          </w:p>
        </w:tc>
      </w:tr>
      <w:tr>
        <w:tc>
          <w:tcPr>
            <w:tcW w:type="dxa" w:w="900"/>
            <w:tcMar>
              <w:top w:w="90" w:type="dxa"/>
              <w:start w:w="120" w:type="dxa"/>
              <w:bottom w:w="90" w:type="dxa"/>
              <w:end w:w="120" w:type="dxa"/>
            </w:tcMar>
            <w:vAlign w:val="center"/>
          </w:tcPr>
          <w:p>
            <w:r>
              <w:rPr>
                <w:rFonts w:ascii="Times New Roman" w:hAnsi="Times New Roman"/>
                <w:b w:val="0"/>
                <w:i w:val="0"/>
                <w:sz w:val="18"/>
              </w:rPr>
              <w:t>UL10</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2</w:t>
            </w:r>
          </w:p>
        </w:tc>
        <w:tc>
          <w:tcPr>
            <w:tcW w:type="dxa" w:w="900"/>
            <w:tcMar>
              <w:top w:w="90" w:type="dxa"/>
              <w:start w:w="120" w:type="dxa"/>
              <w:bottom w:w="90" w:type="dxa"/>
              <w:end w:w="120" w:type="dxa"/>
            </w:tcMar>
            <w:vAlign w:val="center"/>
          </w:tcPr>
          <w:p>
            <w:r>
              <w:rPr>
                <w:rFonts w:ascii="Times New Roman" w:hAnsi="Times New Roman"/>
                <w:b w:val="0"/>
                <w:i w:val="0"/>
                <w:sz w:val="18"/>
              </w:rPr>
              <w:t>0.805</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47</w:t>
            </w:r>
          </w:p>
        </w:tc>
        <w:tc>
          <w:tcPr>
            <w:tcW w:type="dxa" w:w="5610"/>
            <w:tcMar>
              <w:top w:w="90" w:type="dxa"/>
              <w:start w:w="120" w:type="dxa"/>
              <w:bottom w:w="90" w:type="dxa"/>
              <w:end w:w="120" w:type="dxa"/>
            </w:tcMar>
            <w:vAlign w:val="center"/>
          </w:tcPr>
          <w:p>
            <w:r>
              <w:rPr>
                <w:rFonts w:ascii="Times New Roman" w:hAnsi="Times New Roman"/>
                <w:b w:val="0"/>
                <w:i w:val="0"/>
                <w:sz w:val="18"/>
              </w:rPr>
              <w:t>VST-2b3568cdc187cc3a</w:t>
            </w:r>
          </w:p>
        </w:tc>
      </w:tr>
      <w:tr>
        <w:tc>
          <w:tcPr>
            <w:tcW w:type="dxa" w:w="900"/>
            <w:tcMar>
              <w:top w:w="90" w:type="dxa"/>
              <w:start w:w="120" w:type="dxa"/>
              <w:bottom w:w="90" w:type="dxa"/>
              <w:end w:w="120" w:type="dxa"/>
            </w:tcMar>
            <w:vAlign w:val="center"/>
          </w:tcPr>
          <w:p>
            <w:r>
              <w:rPr>
                <w:rFonts w:ascii="Times New Roman" w:hAnsi="Times New Roman"/>
                <w:b w:val="0"/>
                <w:i w:val="0"/>
                <w:sz w:val="18"/>
              </w:rPr>
              <w:t>UL52</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3</w:t>
            </w:r>
          </w:p>
        </w:tc>
        <w:tc>
          <w:tcPr>
            <w:tcW w:type="dxa" w:w="900"/>
            <w:tcMar>
              <w:top w:w="90" w:type="dxa"/>
              <w:start w:w="120" w:type="dxa"/>
              <w:bottom w:w="90" w:type="dxa"/>
              <w:end w:w="120" w:type="dxa"/>
            </w:tcMar>
            <w:vAlign w:val="center"/>
          </w:tcPr>
          <w:p>
            <w:r>
              <w:rPr>
                <w:rFonts w:ascii="Times New Roman" w:hAnsi="Times New Roman"/>
                <w:b w:val="0"/>
                <w:i w:val="0"/>
                <w:sz w:val="18"/>
              </w:rPr>
              <w:t>0.796</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89</w:t>
            </w:r>
          </w:p>
        </w:tc>
        <w:tc>
          <w:tcPr>
            <w:tcW w:type="dxa" w:w="5610"/>
            <w:tcMar>
              <w:top w:w="90" w:type="dxa"/>
              <w:start w:w="120" w:type="dxa"/>
              <w:bottom w:w="90" w:type="dxa"/>
              <w:end w:w="120" w:type="dxa"/>
            </w:tcMar>
            <w:vAlign w:val="center"/>
          </w:tcPr>
          <w:p>
            <w:r>
              <w:rPr>
                <w:rFonts w:ascii="Times New Roman" w:hAnsi="Times New Roman"/>
                <w:b w:val="0"/>
                <w:i w:val="0"/>
                <w:sz w:val="18"/>
              </w:rPr>
              <w:t>VST-0bf1ec26dd4e63a9</w:t>
            </w:r>
          </w:p>
        </w:tc>
      </w:tr>
      <w:tr>
        <w:tc>
          <w:tcPr>
            <w:tcW w:type="dxa" w:w="900"/>
            <w:tcMar>
              <w:top w:w="90" w:type="dxa"/>
              <w:start w:w="120" w:type="dxa"/>
              <w:bottom w:w="90" w:type="dxa"/>
              <w:end w:w="120" w:type="dxa"/>
            </w:tcMar>
            <w:vAlign w:val="center"/>
          </w:tcPr>
          <w:p>
            <w:r>
              <w:rPr>
                <w:rFonts w:ascii="Times New Roman" w:hAnsi="Times New Roman"/>
                <w:b w:val="0"/>
                <w:i w:val="0"/>
                <w:sz w:val="18"/>
              </w:rPr>
              <w:t>UL47</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4</w:t>
            </w:r>
          </w:p>
        </w:tc>
        <w:tc>
          <w:tcPr>
            <w:tcW w:type="dxa" w:w="900"/>
            <w:tcMar>
              <w:top w:w="90" w:type="dxa"/>
              <w:start w:w="120" w:type="dxa"/>
              <w:bottom w:w="90" w:type="dxa"/>
              <w:end w:w="120" w:type="dxa"/>
            </w:tcMar>
            <w:vAlign w:val="center"/>
          </w:tcPr>
          <w:p>
            <w:r>
              <w:rPr>
                <w:rFonts w:ascii="Times New Roman" w:hAnsi="Times New Roman"/>
                <w:b w:val="0"/>
                <w:i w:val="0"/>
                <w:sz w:val="18"/>
              </w:rPr>
              <w:t>0.774</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102</w:t>
            </w:r>
          </w:p>
        </w:tc>
        <w:tc>
          <w:tcPr>
            <w:tcW w:type="dxa" w:w="5610"/>
            <w:tcMar>
              <w:top w:w="90" w:type="dxa"/>
              <w:start w:w="120" w:type="dxa"/>
              <w:bottom w:w="90" w:type="dxa"/>
              <w:end w:w="120" w:type="dxa"/>
            </w:tcMar>
            <w:vAlign w:val="center"/>
          </w:tcPr>
          <w:p>
            <w:r>
              <w:rPr>
                <w:rFonts w:ascii="Times New Roman" w:hAnsi="Times New Roman"/>
                <w:b w:val="0"/>
                <w:i w:val="0"/>
                <w:sz w:val="18"/>
              </w:rPr>
              <w:t>VST-9cd67af4bd66d50a</w:t>
            </w:r>
          </w:p>
        </w:tc>
      </w:tr>
      <w:tr>
        <w:tc>
          <w:tcPr>
            <w:tcW w:type="dxa" w:w="900"/>
            <w:tcMar>
              <w:top w:w="90" w:type="dxa"/>
              <w:start w:w="120" w:type="dxa"/>
              <w:bottom w:w="90" w:type="dxa"/>
              <w:end w:w="120" w:type="dxa"/>
            </w:tcMar>
            <w:vAlign w:val="center"/>
          </w:tcPr>
          <w:p>
            <w:r>
              <w:rPr>
                <w:rFonts w:ascii="Times New Roman" w:hAnsi="Times New Roman"/>
                <w:b w:val="0"/>
                <w:i w:val="0"/>
                <w:sz w:val="18"/>
              </w:rPr>
              <w:t>UL11</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5</w:t>
            </w:r>
          </w:p>
        </w:tc>
        <w:tc>
          <w:tcPr>
            <w:tcW w:type="dxa" w:w="900"/>
            <w:tcMar>
              <w:top w:w="90" w:type="dxa"/>
              <w:start w:w="120" w:type="dxa"/>
              <w:bottom w:w="90" w:type="dxa"/>
              <w:end w:w="120" w:type="dxa"/>
            </w:tcMar>
            <w:vAlign w:val="center"/>
          </w:tcPr>
          <w:p>
            <w:r>
              <w:rPr>
                <w:rFonts w:ascii="Times New Roman" w:hAnsi="Times New Roman"/>
                <w:b w:val="0"/>
                <w:i w:val="0"/>
                <w:sz w:val="18"/>
              </w:rPr>
              <w:t>0.723</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14</w:t>
            </w:r>
          </w:p>
        </w:tc>
        <w:tc>
          <w:tcPr>
            <w:tcW w:type="dxa" w:w="5610"/>
            <w:tcMar>
              <w:top w:w="90" w:type="dxa"/>
              <w:start w:w="120" w:type="dxa"/>
              <w:bottom w:w="90" w:type="dxa"/>
              <w:end w:w="120" w:type="dxa"/>
            </w:tcMar>
            <w:vAlign w:val="center"/>
          </w:tcPr>
          <w:p>
            <w:r>
              <w:rPr>
                <w:rFonts w:ascii="Times New Roman" w:hAnsi="Times New Roman"/>
                <w:b w:val="0"/>
                <w:i w:val="0"/>
                <w:sz w:val="18"/>
              </w:rPr>
              <w:t>VST-b3c226e1dbf82116</w:t>
            </w:r>
          </w:p>
        </w:tc>
      </w:tr>
      <w:tr>
        <w:tc>
          <w:tcPr>
            <w:tcW w:type="dxa" w:w="900"/>
            <w:tcMar>
              <w:top w:w="90" w:type="dxa"/>
              <w:start w:w="120" w:type="dxa"/>
              <w:bottom w:w="90" w:type="dxa"/>
              <w:end w:w="120" w:type="dxa"/>
            </w:tcMar>
            <w:vAlign w:val="center"/>
          </w:tcPr>
          <w:p>
            <w:r>
              <w:rPr>
                <w:rFonts w:ascii="Times New Roman" w:hAnsi="Times New Roman"/>
                <w:b w:val="0"/>
                <w:i w:val="0"/>
                <w:sz w:val="18"/>
              </w:rPr>
              <w:t>UL30</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8</w:t>
            </w:r>
          </w:p>
        </w:tc>
        <w:tc>
          <w:tcPr>
            <w:tcW w:type="dxa" w:w="900"/>
            <w:tcMar>
              <w:top w:w="90" w:type="dxa"/>
              <w:start w:w="120" w:type="dxa"/>
              <w:bottom w:w="90" w:type="dxa"/>
              <w:end w:w="120" w:type="dxa"/>
            </w:tcMar>
            <w:vAlign w:val="center"/>
          </w:tcPr>
          <w:p>
            <w:r>
              <w:rPr>
                <w:rFonts w:ascii="Times New Roman" w:hAnsi="Times New Roman"/>
                <w:b w:val="0"/>
                <w:i w:val="0"/>
                <w:sz w:val="18"/>
              </w:rPr>
              <w:t>0.706</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73</w:t>
            </w:r>
          </w:p>
        </w:tc>
        <w:tc>
          <w:tcPr>
            <w:tcW w:type="dxa" w:w="5610"/>
            <w:tcMar>
              <w:top w:w="90" w:type="dxa"/>
              <w:start w:w="120" w:type="dxa"/>
              <w:bottom w:w="90" w:type="dxa"/>
              <w:end w:w="120" w:type="dxa"/>
            </w:tcMar>
            <w:vAlign w:val="center"/>
          </w:tcPr>
          <w:p>
            <w:r>
              <w:rPr>
                <w:rFonts w:ascii="Times New Roman" w:hAnsi="Times New Roman"/>
                <w:b w:val="0"/>
                <w:i w:val="0"/>
                <w:sz w:val="18"/>
              </w:rPr>
              <w:t>VST-240e20eb666f9c85</w:t>
            </w:r>
          </w:p>
        </w:tc>
      </w:tr>
      <w:tr>
        <w:tc>
          <w:tcPr>
            <w:tcW w:type="dxa" w:w="900"/>
            <w:tcMar>
              <w:top w:w="90" w:type="dxa"/>
              <w:start w:w="120" w:type="dxa"/>
              <w:bottom w:w="90" w:type="dxa"/>
              <w:end w:w="120" w:type="dxa"/>
            </w:tcMar>
            <w:vAlign w:val="center"/>
          </w:tcPr>
          <w:p>
            <w:r>
              <w:rPr>
                <w:rFonts w:ascii="Times New Roman" w:hAnsi="Times New Roman"/>
                <w:b w:val="0"/>
                <w:i w:val="0"/>
                <w:sz w:val="18"/>
              </w:rPr>
              <w:t>UL18</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12</w:t>
            </w:r>
          </w:p>
        </w:tc>
        <w:tc>
          <w:tcPr>
            <w:tcW w:type="dxa" w:w="900"/>
            <w:tcMar>
              <w:top w:w="90" w:type="dxa"/>
              <w:start w:w="120" w:type="dxa"/>
              <w:bottom w:w="90" w:type="dxa"/>
              <w:end w:w="120" w:type="dxa"/>
            </w:tcMar>
            <w:vAlign w:val="center"/>
          </w:tcPr>
          <w:p>
            <w:r>
              <w:rPr>
                <w:rFonts w:ascii="Times New Roman" w:hAnsi="Times New Roman"/>
                <w:b w:val="0"/>
                <w:i w:val="0"/>
                <w:sz w:val="18"/>
              </w:rPr>
              <w:t>0.671</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29</w:t>
            </w:r>
          </w:p>
        </w:tc>
        <w:tc>
          <w:tcPr>
            <w:tcW w:type="dxa" w:w="5610"/>
            <w:tcMar>
              <w:top w:w="90" w:type="dxa"/>
              <w:start w:w="120" w:type="dxa"/>
              <w:bottom w:w="90" w:type="dxa"/>
              <w:end w:w="120" w:type="dxa"/>
            </w:tcMar>
            <w:vAlign w:val="center"/>
          </w:tcPr>
          <w:p>
            <w:r>
              <w:rPr>
                <w:rFonts w:ascii="Times New Roman" w:hAnsi="Times New Roman"/>
                <w:b w:val="0"/>
                <w:i w:val="0"/>
                <w:sz w:val="18"/>
              </w:rPr>
              <w:t>VST-7ca830d5c47bd4fc</w:t>
            </w:r>
          </w:p>
        </w:tc>
      </w:tr>
      <w:tr>
        <w:tc>
          <w:tcPr>
            <w:tcW w:type="dxa" w:w="900"/>
            <w:tcMar>
              <w:top w:w="90" w:type="dxa"/>
              <w:start w:w="120" w:type="dxa"/>
              <w:bottom w:w="90" w:type="dxa"/>
              <w:end w:w="120" w:type="dxa"/>
            </w:tcMar>
            <w:vAlign w:val="center"/>
          </w:tcPr>
          <w:p>
            <w:r>
              <w:rPr>
                <w:rFonts w:ascii="Times New Roman" w:hAnsi="Times New Roman"/>
                <w:b w:val="0"/>
                <w:i w:val="0"/>
                <w:sz w:val="18"/>
              </w:rPr>
              <w:t>UL19</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20</w:t>
            </w:r>
          </w:p>
        </w:tc>
        <w:tc>
          <w:tcPr>
            <w:tcW w:type="dxa" w:w="900"/>
            <w:tcMar>
              <w:top w:w="90" w:type="dxa"/>
              <w:start w:w="120" w:type="dxa"/>
              <w:bottom w:w="90" w:type="dxa"/>
              <w:end w:w="120" w:type="dxa"/>
            </w:tcMar>
            <w:vAlign w:val="center"/>
          </w:tcPr>
          <w:p>
            <w:r>
              <w:rPr>
                <w:rFonts w:ascii="Times New Roman" w:hAnsi="Times New Roman"/>
                <w:b w:val="0"/>
                <w:i w:val="0"/>
                <w:sz w:val="18"/>
              </w:rPr>
              <w:t>0.617</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110</w:t>
            </w:r>
          </w:p>
        </w:tc>
        <w:tc>
          <w:tcPr>
            <w:tcW w:type="dxa" w:w="5610"/>
            <w:tcMar>
              <w:top w:w="90" w:type="dxa"/>
              <w:start w:w="120" w:type="dxa"/>
              <w:bottom w:w="90" w:type="dxa"/>
              <w:end w:w="120" w:type="dxa"/>
            </w:tcMar>
            <w:vAlign w:val="center"/>
          </w:tcPr>
          <w:p>
            <w:r>
              <w:rPr>
                <w:rFonts w:ascii="Times New Roman" w:hAnsi="Times New Roman"/>
                <w:b w:val="0"/>
                <w:i w:val="0"/>
                <w:sz w:val="18"/>
              </w:rPr>
              <w:t>VST-2ef5158024ade344</w:t>
            </w:r>
          </w:p>
        </w:tc>
      </w:tr>
      <w:tr>
        <w:tc>
          <w:tcPr>
            <w:tcW w:type="dxa" w:w="900"/>
            <w:tcMar>
              <w:top w:w="90" w:type="dxa"/>
              <w:start w:w="120" w:type="dxa"/>
              <w:bottom w:w="90" w:type="dxa"/>
              <w:end w:w="120" w:type="dxa"/>
            </w:tcMar>
            <w:vAlign w:val="center"/>
          </w:tcPr>
          <w:p>
            <w:r>
              <w:rPr>
                <w:rFonts w:ascii="Times New Roman" w:hAnsi="Times New Roman"/>
                <w:b w:val="0"/>
                <w:i w:val="0"/>
                <w:sz w:val="18"/>
              </w:rPr>
              <w:t>UL36</w:t>
            </w:r>
          </w:p>
        </w:tc>
        <w:tc>
          <w:tcPr>
            <w:tcW w:type="dxa" w:w="700"/>
            <w:tcMar>
              <w:top w:w="90" w:type="dxa"/>
              <w:start w:w="120" w:type="dxa"/>
              <w:bottom w:w="90" w:type="dxa"/>
              <w:end w:w="120" w:type="dxa"/>
            </w:tcMar>
            <w:vAlign w:val="center"/>
          </w:tcPr>
          <w:p>
            <w:pPr>
              <w:jc w:val="center"/>
            </w:pPr>
            <w:r>
              <w:rPr>
                <w:rFonts w:ascii="Times New Roman" w:hAnsi="Times New Roman"/>
                <w:b w:val="0"/>
                <w:i w:val="0"/>
                <w:sz w:val="18"/>
              </w:rPr>
              <w:t>21</w:t>
            </w:r>
          </w:p>
        </w:tc>
        <w:tc>
          <w:tcPr>
            <w:tcW w:type="dxa" w:w="900"/>
            <w:tcMar>
              <w:top w:w="90" w:type="dxa"/>
              <w:start w:w="120" w:type="dxa"/>
              <w:bottom w:w="90" w:type="dxa"/>
              <w:end w:w="120" w:type="dxa"/>
            </w:tcMar>
            <w:vAlign w:val="center"/>
          </w:tcPr>
          <w:p>
            <w:r>
              <w:rPr>
                <w:rFonts w:ascii="Times New Roman" w:hAnsi="Times New Roman"/>
                <w:b w:val="0"/>
                <w:i w:val="0"/>
                <w:sz w:val="18"/>
              </w:rPr>
              <w:t>0.605</w:t>
            </w:r>
          </w:p>
        </w:tc>
        <w:tc>
          <w:tcPr>
            <w:tcW w:type="dxa" w:w="1250"/>
            <w:tcMar>
              <w:top w:w="90" w:type="dxa"/>
              <w:start w:w="120" w:type="dxa"/>
              <w:bottom w:w="90" w:type="dxa"/>
              <w:end w:w="120" w:type="dxa"/>
            </w:tcMar>
            <w:vAlign w:val="center"/>
          </w:tcPr>
          <w:p>
            <w:pPr>
              <w:jc w:val="center"/>
            </w:pPr>
            <w:r>
              <w:rPr>
                <w:rFonts w:ascii="Times New Roman" w:hAnsi="Times New Roman"/>
                <w:b w:val="0"/>
                <w:i w:val="0"/>
                <w:sz w:val="18"/>
              </w:rPr>
              <w:t>159</w:t>
            </w:r>
          </w:p>
        </w:tc>
        <w:tc>
          <w:tcPr>
            <w:tcW w:type="dxa" w:w="5610"/>
            <w:tcMar>
              <w:top w:w="90" w:type="dxa"/>
              <w:start w:w="120" w:type="dxa"/>
              <w:bottom w:w="90" w:type="dxa"/>
              <w:end w:w="120" w:type="dxa"/>
            </w:tcMar>
            <w:vAlign w:val="center"/>
          </w:tcPr>
          <w:p>
            <w:r>
              <w:rPr>
                <w:rFonts w:ascii="Times New Roman" w:hAnsi="Times New Roman"/>
                <w:b w:val="0"/>
                <w:i w:val="0"/>
                <w:sz w:val="18"/>
              </w:rPr>
              <w:t>VST-2e9f052157f9bf29</w:t>
            </w:r>
          </w:p>
        </w:tc>
      </w:tr>
    </w:tbl>
    <w:p>
      <w:pPr>
        <w:spacing w:before="60" w:after="120" w:line="240" w:lineRule="auto"/>
      </w:pPr>
      <w:r>
        <w:rPr>
          <w:rFonts w:ascii="Times New Roman" w:hAnsi="Times New Roman"/>
          <w:b w:val="0"/>
          <w:i/>
          <w:sz w:val="18"/>
        </w:rPr>
        <w:t>Values are computational and model-bounded; missing evidence remains unknown.</w:t>
      </w:r>
    </w:p>
    <w:p>
      <w:pPr>
        <w:widowControl/>
      </w:pPr>
      <w:r>
        <w:rPr>
          <w:rFonts w:ascii="Times New Roman" w:hAnsi="Times New Roman"/>
          <w:b w:val="0"/>
          <w:i w:val="0"/>
          <w:sz w:val="24"/>
        </w:rPr>
        <w:t>UL3, UL10, UL52, UL47 and UL11 occupied the first five exhaustive gene-targetability ranks (Table 2; Fig. 3). The highest-ranked individual candidate, VST-2e9f052157f9bf29, mapped to UL36. UL36 ranked 21st at gene level, whereas UL3 led the gene portfolio despite not containing the top individual guide. Thus the best single candidate and the strongest gene-level portfolio were empirically distinct.</w:t>
      </w:r>
    </w:p>
    <w:p>
      <w:pPr>
        <w:widowControl/>
      </w:pPr>
      <w:r>
        <w:rPr>
          <w:rFonts w:ascii="Times New Roman" w:hAnsi="Times New Roman"/>
          <w:b w:val="0"/>
          <w:i w:val="0"/>
          <w:sz w:val="24"/>
        </w:rPr>
        <w:t>This result does not imply that UL3 is biologically or therapeutically preferable to UL30 or UL52. Direct HSV-2 essentiality evidence for the focus genes remains incomplete.* HSV-1 functional studies provide replication-focused context for UL30 and UL52, but those observations remain ortholog evidence rather than direct HSV-2 null evidence.*</w:t>
      </w:r>
    </w:p>
    <w:p>
      <w:pPr>
        <w:pStyle w:val="Heading2"/>
      </w:pPr>
      <w:r>
        <w:t>The deep panel added coding and sequence-robustness context</w:t>
      </w:r>
    </w:p>
    <w:p>
      <w:pPr>
        <w:pStyle w:val="TableTitle"/>
      </w:pPr>
      <w:r>
        <w:t>Table 3. Frozen-panel virtual analysis</w:t>
      </w:r>
    </w:p>
    <w:tbl>
      <w:tblPr>
        <w:tblStyle w:val="TableGrid"/>
        <w:tblW w:type="dxa" w:w="9360"/>
        <w:tblLayout w:type="fixed"/>
        <w:tblLook w:firstColumn="1" w:firstRow="1" w:lastColumn="0" w:lastRow="0" w:noHBand="0" w:noVBand="1" w:val="04A0"/>
        <w:tblInd w:w="120" w:type="dxa"/>
      </w:tblPr>
      <w:tblGrid>
        <w:gridCol w:w="6600"/>
        <w:gridCol w:w="2760"/>
      </w:tblGrid>
      <w:tr>
        <w:trPr>
          <w:tblHeader w:val="true"/>
        </w:trPr>
        <w:tc>
          <w:tcPr>
            <w:tcW w:type="dxa" w:w="6600"/>
            <w:tcMar>
              <w:top w:w="90" w:type="dxa"/>
              <w:start w:w="120" w:type="dxa"/>
              <w:bottom w:w="90" w:type="dxa"/>
              <w:end w:w="120" w:type="dxa"/>
            </w:tcMar>
            <w:vAlign w:val="center"/>
          </w:tcPr>
          <w:p>
            <w:pPr>
              <w:jc w:val="center"/>
            </w:pPr>
            <w:r>
              <w:rPr>
                <w:rFonts w:ascii="Times New Roman" w:hAnsi="Times New Roman"/>
                <w:b/>
                <w:i w:val="0"/>
                <w:sz w:val="18"/>
              </w:rPr>
              <w:t>Metric</w:t>
            </w:r>
          </w:p>
        </w:tc>
        <w:tc>
          <w:tcPr>
            <w:tcW w:type="dxa" w:w="2760"/>
            <w:tcMar>
              <w:top w:w="90" w:type="dxa"/>
              <w:start w:w="120" w:type="dxa"/>
              <w:bottom w:w="90" w:type="dxa"/>
              <w:end w:w="120" w:type="dxa"/>
            </w:tcMar>
            <w:vAlign w:val="center"/>
          </w:tcPr>
          <w:p>
            <w:pPr>
              <w:jc w:val="center"/>
            </w:pPr>
            <w:r>
              <w:rPr>
                <w:rFonts w:ascii="Times New Roman" w:hAnsi="Times New Roman"/>
                <w:b/>
                <w:i w:val="0"/>
                <w:sz w:val="18"/>
              </w:rPr>
              <w:t>Value</w:t>
            </w:r>
          </w:p>
        </w:tc>
      </w:tr>
      <w:tr>
        <w:tc>
          <w:tcPr>
            <w:tcW w:type="dxa" w:w="6600"/>
            <w:tcMar>
              <w:top w:w="90" w:type="dxa"/>
              <w:start w:w="120" w:type="dxa"/>
              <w:bottom w:w="90" w:type="dxa"/>
              <w:end w:w="120" w:type="dxa"/>
            </w:tcMar>
            <w:vAlign w:val="center"/>
          </w:tcPr>
          <w:p>
            <w:r>
              <w:rPr>
                <w:rFonts w:ascii="Times New Roman" w:hAnsi="Times New Roman"/>
                <w:b w:val="0"/>
                <w:i w:val="0"/>
                <w:sz w:val="18"/>
              </w:rPr>
              <w:t>Frozen guides</w:t>
            </w:r>
          </w:p>
        </w:tc>
        <w:tc>
          <w:tcPr>
            <w:tcW w:type="dxa" w:w="2760"/>
            <w:tcMar>
              <w:top w:w="90" w:type="dxa"/>
              <w:start w:w="120" w:type="dxa"/>
              <w:bottom w:w="90" w:type="dxa"/>
              <w:end w:w="120" w:type="dxa"/>
            </w:tcMar>
            <w:vAlign w:val="center"/>
          </w:tcPr>
          <w:p>
            <w:r>
              <w:rPr>
                <w:rFonts w:ascii="Times New Roman" w:hAnsi="Times New Roman"/>
                <w:b w:val="0"/>
                <w:i w:val="0"/>
                <w:sz w:val="18"/>
              </w:rPr>
              <w:t>257</w:t>
            </w:r>
          </w:p>
        </w:tc>
      </w:tr>
      <w:tr>
        <w:tc>
          <w:tcPr>
            <w:tcW w:type="dxa" w:w="6600"/>
            <w:tcMar>
              <w:top w:w="90" w:type="dxa"/>
              <w:start w:w="120" w:type="dxa"/>
              <w:bottom w:w="90" w:type="dxa"/>
              <w:end w:w="120" w:type="dxa"/>
            </w:tcMar>
            <w:vAlign w:val="center"/>
          </w:tcPr>
          <w:p>
            <w:r>
              <w:rPr>
                <w:rFonts w:ascii="Times New Roman" w:hAnsi="Times New Roman"/>
                <w:b w:val="0"/>
                <w:i w:val="0"/>
                <w:sz w:val="18"/>
              </w:rPr>
              <w:t>Guide-to-CDS mappings</w:t>
            </w:r>
          </w:p>
        </w:tc>
        <w:tc>
          <w:tcPr>
            <w:tcW w:type="dxa" w:w="2760"/>
            <w:tcMar>
              <w:top w:w="90" w:type="dxa"/>
              <w:start w:w="120" w:type="dxa"/>
              <w:bottom w:w="90" w:type="dxa"/>
              <w:end w:w="120" w:type="dxa"/>
            </w:tcMar>
            <w:vAlign w:val="center"/>
          </w:tcPr>
          <w:p>
            <w:r>
              <w:rPr>
                <w:rFonts w:ascii="Times New Roman" w:hAnsi="Times New Roman"/>
                <w:b w:val="0"/>
                <w:i w:val="0"/>
                <w:sz w:val="18"/>
              </w:rPr>
              <w:t>271</w:t>
            </w:r>
          </w:p>
        </w:tc>
      </w:tr>
      <w:tr>
        <w:tc>
          <w:tcPr>
            <w:tcW w:type="dxa" w:w="6600"/>
            <w:tcMar>
              <w:top w:w="90" w:type="dxa"/>
              <w:start w:w="120" w:type="dxa"/>
              <w:bottom w:w="90" w:type="dxa"/>
              <w:end w:w="120" w:type="dxa"/>
            </w:tcMar>
            <w:vAlign w:val="center"/>
          </w:tcPr>
          <w:p>
            <w:r>
              <w:rPr>
                <w:rFonts w:ascii="Times New Roman" w:hAnsi="Times New Roman"/>
                <w:b w:val="0"/>
                <w:i w:val="0"/>
                <w:sz w:val="18"/>
              </w:rPr>
              <w:t>Guides mapped to at least one CDS</w:t>
            </w:r>
          </w:p>
        </w:tc>
        <w:tc>
          <w:tcPr>
            <w:tcW w:type="dxa" w:w="2760"/>
            <w:tcMar>
              <w:top w:w="90" w:type="dxa"/>
              <w:start w:w="120" w:type="dxa"/>
              <w:bottom w:w="90" w:type="dxa"/>
              <w:end w:w="120" w:type="dxa"/>
            </w:tcMar>
            <w:vAlign w:val="center"/>
          </w:tcPr>
          <w:p>
            <w:r>
              <w:rPr>
                <w:rFonts w:ascii="Times New Roman" w:hAnsi="Times New Roman"/>
                <w:b w:val="0"/>
                <w:i w:val="0"/>
                <w:sz w:val="18"/>
              </w:rPr>
              <w:t>250</w:t>
            </w:r>
          </w:p>
        </w:tc>
      </w:tr>
      <w:tr>
        <w:tc>
          <w:tcPr>
            <w:tcW w:type="dxa" w:w="6600"/>
            <w:tcMar>
              <w:top w:w="90" w:type="dxa"/>
              <w:start w:w="120" w:type="dxa"/>
              <w:bottom w:w="90" w:type="dxa"/>
              <w:end w:w="120" w:type="dxa"/>
            </w:tcMar>
            <w:vAlign w:val="center"/>
          </w:tcPr>
          <w:p>
            <w:r>
              <w:rPr>
                <w:rFonts w:ascii="Times New Roman" w:hAnsi="Times New Roman"/>
                <w:b w:val="0"/>
                <w:i w:val="0"/>
                <w:sz w:val="18"/>
              </w:rPr>
              <w:t>Bounded indel hypotheses</w:t>
            </w:r>
          </w:p>
        </w:tc>
        <w:tc>
          <w:tcPr>
            <w:tcW w:type="dxa" w:w="2760"/>
            <w:tcMar>
              <w:top w:w="90" w:type="dxa"/>
              <w:start w:w="120" w:type="dxa"/>
              <w:bottom w:w="90" w:type="dxa"/>
              <w:end w:w="120" w:type="dxa"/>
            </w:tcMar>
            <w:vAlign w:val="center"/>
          </w:tcPr>
          <w:p>
            <w:r>
              <w:rPr>
                <w:rFonts w:ascii="Times New Roman" w:hAnsi="Times New Roman"/>
                <w:b w:val="0"/>
                <w:i w:val="0"/>
                <w:sz w:val="18"/>
              </w:rPr>
              <w:t>5,691</w:t>
            </w:r>
          </w:p>
        </w:tc>
      </w:tr>
      <w:tr>
        <w:tc>
          <w:tcPr>
            <w:tcW w:type="dxa" w:w="6600"/>
            <w:tcMar>
              <w:top w:w="90" w:type="dxa"/>
              <w:start w:w="120" w:type="dxa"/>
              <w:bottom w:w="90" w:type="dxa"/>
              <w:end w:w="120" w:type="dxa"/>
            </w:tcMar>
            <w:vAlign w:val="center"/>
          </w:tcPr>
          <w:p>
            <w:r>
              <w:rPr>
                <w:rFonts w:ascii="Times New Roman" w:hAnsi="Times New Roman"/>
                <w:b w:val="0"/>
                <w:i w:val="0"/>
                <w:sz w:val="18"/>
              </w:rPr>
              <w:t>Single-nucleotide counterfactuals</w:t>
            </w:r>
          </w:p>
        </w:tc>
        <w:tc>
          <w:tcPr>
            <w:tcW w:type="dxa" w:w="2760"/>
            <w:tcMar>
              <w:top w:w="90" w:type="dxa"/>
              <w:start w:w="120" w:type="dxa"/>
              <w:bottom w:w="90" w:type="dxa"/>
              <w:end w:w="120" w:type="dxa"/>
            </w:tcMar>
            <w:vAlign w:val="center"/>
          </w:tcPr>
          <w:p>
            <w:r>
              <w:rPr>
                <w:rFonts w:ascii="Times New Roman" w:hAnsi="Times New Roman"/>
                <w:b w:val="0"/>
                <w:i w:val="0"/>
                <w:sz w:val="18"/>
              </w:rPr>
              <w:t>17,733</w:t>
            </w:r>
          </w:p>
        </w:tc>
      </w:tr>
      <w:tr>
        <w:tc>
          <w:tcPr>
            <w:tcW w:type="dxa" w:w="6600"/>
            <w:tcMar>
              <w:top w:w="90" w:type="dxa"/>
              <w:start w:w="120" w:type="dxa"/>
              <w:bottom w:w="90" w:type="dxa"/>
              <w:end w:w="120" w:type="dxa"/>
            </w:tcMar>
            <w:vAlign w:val="center"/>
          </w:tcPr>
          <w:p>
            <w:r>
              <w:rPr>
                <w:rFonts w:ascii="Times New Roman" w:hAnsi="Times New Roman"/>
                <w:b w:val="0"/>
                <w:i w:val="0"/>
                <w:sz w:val="18"/>
              </w:rPr>
              <w:t>Held-out observations available</w:t>
            </w:r>
          </w:p>
        </w:tc>
        <w:tc>
          <w:tcPr>
            <w:tcW w:type="dxa" w:w="2760"/>
            <w:tcMar>
              <w:top w:w="90" w:type="dxa"/>
              <w:start w:w="120" w:type="dxa"/>
              <w:bottom w:w="90" w:type="dxa"/>
              <w:end w:w="120" w:type="dxa"/>
            </w:tcMar>
            <w:vAlign w:val="center"/>
          </w:tcPr>
          <w:p>
            <w:r>
              <w:rPr>
                <w:rFonts w:ascii="Times New Roman" w:hAnsi="Times New Roman"/>
                <w:b w:val="0"/>
                <w:i w:val="0"/>
                <w:sz w:val="18"/>
              </w:rPr>
              <w:t>200/257</w:t>
            </w:r>
          </w:p>
        </w:tc>
      </w:tr>
    </w:tbl>
    <w:p>
      <w:pPr>
        <w:spacing w:before="60" w:after="120" w:line="240" w:lineRule="auto"/>
      </w:pPr>
      <w:r>
        <w:rPr>
          <w:rFonts w:ascii="Times New Roman" w:hAnsi="Times New Roman"/>
          <w:b w:val="0"/>
          <w:i/>
          <w:sz w:val="18"/>
        </w:rPr>
        <w:t>Values are computational and model-bounded; missing evidence remains unknown.</w:t>
      </w:r>
    </w:p>
    <w:p>
      <w:pPr>
        <w:widowControl/>
      </w:pPr>
      <w:r>
        <w:rPr>
          <w:rFonts w:ascii="Times New Roman" w:hAnsi="Times New Roman"/>
          <w:b w:val="0"/>
          <w:i w:val="0"/>
          <w:sz w:val="24"/>
        </w:rPr>
        <w:t>The frozen deep panel contained 257 unique guides. Generic mapping produced 271 guide-to-CDS rows because overlapping CDS records were retained; 250 guides mapped to at least one CDS (Fig. 4). The −10 to +10 bp grid generated 5,691 bounded indel hypotheses. The analysis enumerated 17,733 single-nucleotide protospacer/PAM counterfactuals. Held-out exact-target coverage was available for 200 guides and remained unknown for 57.</w:t>
      </w:r>
    </w:p>
    <w:p>
      <w:pPr>
        <w:widowControl/>
      </w:pPr>
      <w:r>
        <w:rPr>
          <w:rFonts w:ascii="Times New Roman" w:hAnsi="Times New Roman"/>
          <w:b w:val="0"/>
          <w:i w:val="0"/>
          <w:sz w:val="24"/>
        </w:rPr>
        <w:t>For the configured focus genes, all three analyzed UL18 guides intersected the supplied domain annotation and occurred relatively early in the protein, giving UL18 a strong predicted-disruption context.* This is annotation-dependent and does not demonstrate an HSV-2 phenotype. UL36 contributed seven deep-panel guides, including the leading individual candidate, but its gene-level portfolio remained lower ranked.</w:t>
      </w:r>
    </w:p>
    <w:p>
      <w:pPr>
        <w:pStyle w:val="Heading2"/>
      </w:pPr>
      <w:r>
        <w:t>Multiplex panels had a three-substitution exact-target barrier</w:t>
      </w:r>
    </w:p>
    <w:p>
      <w:pPr>
        <w:widowControl/>
      </w:pPr>
      <w:r>
        <w:rPr>
          <w:rFonts w:ascii="Times New Roman" w:hAnsi="Times New Roman"/>
          <w:b w:val="0"/>
          <w:i w:val="0"/>
          <w:sz w:val="24"/>
        </w:rPr>
        <w:t>Four three-guide strategies were evaluated: top-ranking-only, essential/replication-focused, targetability-focused and mechanism-diverse (Fig. 5). Each required three distinct substitutions to remove all exact guide/PAM sites under the set-cover model. Minimum available held-out support ranged from 0.973913 to 0.982609. These are marginal per-guide values and do not establish within-genome joint coverage or reduced biological escape.</w:t>
      </w:r>
    </w:p>
    <w:p>
      <w:pPr>
        <w:pStyle w:val="Heading2"/>
      </w:pPr>
      <w:r>
        <w:t>Host-search engines agreed while composite ranks addressed a different axis</w:t>
      </w:r>
    </w:p>
    <w:p>
      <w:pPr>
        <w:pStyle w:val="TableTitle"/>
      </w:pPr>
      <w:r>
        <w:t>Table 4. Frozen-panel benchmark summary</w:t>
      </w:r>
    </w:p>
    <w:tbl>
      <w:tblPr>
        <w:tblStyle w:val="TableGrid"/>
        <w:tblW w:type="dxa" w:w="9360"/>
        <w:tblLayout w:type="fixed"/>
        <w:tblLook w:firstColumn="1" w:firstRow="1" w:lastColumn="0" w:lastRow="0" w:noHBand="0" w:noVBand="1" w:val="04A0"/>
        <w:tblInd w:w="120" w:type="dxa"/>
      </w:tblPr>
      <w:tblGrid>
        <w:gridCol w:w="6600"/>
        <w:gridCol w:w="2760"/>
      </w:tblGrid>
      <w:tr>
        <w:trPr>
          <w:tblHeader w:val="true"/>
        </w:trPr>
        <w:tc>
          <w:tcPr>
            <w:tcW w:type="dxa" w:w="6600"/>
            <w:tcMar>
              <w:top w:w="90" w:type="dxa"/>
              <w:start w:w="120" w:type="dxa"/>
              <w:bottom w:w="90" w:type="dxa"/>
              <w:end w:w="120" w:type="dxa"/>
            </w:tcMar>
            <w:vAlign w:val="center"/>
          </w:tcPr>
          <w:p>
            <w:pPr>
              <w:jc w:val="center"/>
            </w:pPr>
            <w:r>
              <w:rPr>
                <w:rFonts w:ascii="Times New Roman" w:hAnsi="Times New Roman"/>
                <w:b/>
                <w:i w:val="0"/>
                <w:sz w:val="18"/>
              </w:rPr>
              <w:t>Comparison</w:t>
            </w:r>
          </w:p>
        </w:tc>
        <w:tc>
          <w:tcPr>
            <w:tcW w:type="dxa" w:w="2760"/>
            <w:tcMar>
              <w:top w:w="90" w:type="dxa"/>
              <w:start w:w="120" w:type="dxa"/>
              <w:bottom w:w="90" w:type="dxa"/>
              <w:end w:w="120" w:type="dxa"/>
            </w:tcMar>
            <w:vAlign w:val="center"/>
          </w:tcPr>
          <w:p>
            <w:pPr>
              <w:jc w:val="center"/>
            </w:pPr>
            <w:r>
              <w:rPr>
                <w:rFonts w:ascii="Times New Roman" w:hAnsi="Times New Roman"/>
                <w:b/>
                <w:i w:val="0"/>
                <w:sz w:val="18"/>
              </w:rPr>
              <w:t>Result</w:t>
            </w:r>
          </w:p>
        </w:tc>
      </w:tr>
      <w:tr>
        <w:tc>
          <w:tcPr>
            <w:tcW w:type="dxa" w:w="6600"/>
            <w:tcMar>
              <w:top w:w="90" w:type="dxa"/>
              <w:start w:w="120" w:type="dxa"/>
              <w:bottom w:w="90" w:type="dxa"/>
              <w:end w:w="120" w:type="dxa"/>
            </w:tcMar>
            <w:vAlign w:val="center"/>
          </w:tcPr>
          <w:p>
            <w:r>
              <w:rPr>
                <w:rFonts w:ascii="Times New Roman" w:hAnsi="Times New Roman"/>
                <w:b w:val="0"/>
                <w:i w:val="0"/>
                <w:sz w:val="18"/>
              </w:rPr>
              <w:t>Cas-OFFinder vs CRISPRitz Spearman</w:t>
            </w:r>
          </w:p>
        </w:tc>
        <w:tc>
          <w:tcPr>
            <w:tcW w:type="dxa" w:w="2760"/>
            <w:tcMar>
              <w:top w:w="90" w:type="dxa"/>
              <w:start w:w="120" w:type="dxa"/>
              <w:bottom w:w="90" w:type="dxa"/>
              <w:end w:w="120" w:type="dxa"/>
            </w:tcMar>
            <w:vAlign w:val="center"/>
          </w:tcPr>
          <w:p>
            <w:r>
              <w:rPr>
                <w:rFonts w:ascii="Times New Roman" w:hAnsi="Times New Roman"/>
                <w:b w:val="0"/>
                <w:i w:val="0"/>
                <w:sz w:val="18"/>
              </w:rPr>
              <w:t>0.880413</w:t>
            </w:r>
          </w:p>
        </w:tc>
      </w:tr>
      <w:tr>
        <w:tc>
          <w:tcPr>
            <w:tcW w:type="dxa" w:w="6600"/>
            <w:tcMar>
              <w:top w:w="90" w:type="dxa"/>
              <w:start w:w="120" w:type="dxa"/>
              <w:bottom w:w="90" w:type="dxa"/>
              <w:end w:w="120" w:type="dxa"/>
            </w:tcMar>
            <w:vAlign w:val="center"/>
          </w:tcPr>
          <w:p>
            <w:r>
              <w:rPr>
                <w:rFonts w:ascii="Times New Roman" w:hAnsi="Times New Roman"/>
                <w:b w:val="0"/>
                <w:i w:val="0"/>
                <w:sz w:val="18"/>
              </w:rPr>
              <w:t>Top-10 overlap</w:t>
            </w:r>
          </w:p>
        </w:tc>
        <w:tc>
          <w:tcPr>
            <w:tcW w:type="dxa" w:w="2760"/>
            <w:tcMar>
              <w:top w:w="90" w:type="dxa"/>
              <w:start w:w="120" w:type="dxa"/>
              <w:bottom w:w="90" w:type="dxa"/>
              <w:end w:w="120" w:type="dxa"/>
            </w:tcMar>
            <w:vAlign w:val="center"/>
          </w:tcPr>
          <w:p>
            <w:r>
              <w:rPr>
                <w:rFonts w:ascii="Times New Roman" w:hAnsi="Times New Roman"/>
                <w:b w:val="0"/>
                <w:i w:val="0"/>
                <w:sz w:val="18"/>
              </w:rPr>
              <w:t>9/10</w:t>
            </w:r>
          </w:p>
        </w:tc>
      </w:tr>
      <w:tr>
        <w:tc>
          <w:tcPr>
            <w:tcW w:type="dxa" w:w="6600"/>
            <w:tcMar>
              <w:top w:w="90" w:type="dxa"/>
              <w:start w:w="120" w:type="dxa"/>
              <w:bottom w:w="90" w:type="dxa"/>
              <w:end w:w="120" w:type="dxa"/>
            </w:tcMar>
            <w:vAlign w:val="center"/>
          </w:tcPr>
          <w:p>
            <w:r>
              <w:rPr>
                <w:rFonts w:ascii="Times New Roman" w:hAnsi="Times New Roman"/>
                <w:b w:val="0"/>
                <w:i w:val="0"/>
                <w:sz w:val="18"/>
              </w:rPr>
              <w:t>Top-25 overlap</w:t>
            </w:r>
          </w:p>
        </w:tc>
        <w:tc>
          <w:tcPr>
            <w:tcW w:type="dxa" w:w="2760"/>
            <w:tcMar>
              <w:top w:w="90" w:type="dxa"/>
              <w:start w:w="120" w:type="dxa"/>
              <w:bottom w:w="90" w:type="dxa"/>
              <w:end w:w="120" w:type="dxa"/>
            </w:tcMar>
            <w:vAlign w:val="center"/>
          </w:tcPr>
          <w:p>
            <w:r>
              <w:rPr>
                <w:rFonts w:ascii="Times New Roman" w:hAnsi="Times New Roman"/>
                <w:b w:val="0"/>
                <w:i w:val="0"/>
                <w:sz w:val="18"/>
              </w:rPr>
              <w:t>24/25</w:t>
            </w:r>
          </w:p>
        </w:tc>
      </w:tr>
      <w:tr>
        <w:tc>
          <w:tcPr>
            <w:tcW w:type="dxa" w:w="6600"/>
            <w:tcMar>
              <w:top w:w="90" w:type="dxa"/>
              <w:start w:w="120" w:type="dxa"/>
              <w:bottom w:w="90" w:type="dxa"/>
              <w:end w:w="120" w:type="dxa"/>
            </w:tcMar>
            <w:vAlign w:val="center"/>
          </w:tcPr>
          <w:p>
            <w:r>
              <w:rPr>
                <w:rFonts w:ascii="Times New Roman" w:hAnsi="Times New Roman"/>
                <w:b w:val="0"/>
                <w:i w:val="0"/>
                <w:sz w:val="18"/>
              </w:rPr>
              <w:t>Top-50 overlap</w:t>
            </w:r>
          </w:p>
        </w:tc>
        <w:tc>
          <w:tcPr>
            <w:tcW w:type="dxa" w:w="2760"/>
            <w:tcMar>
              <w:top w:w="90" w:type="dxa"/>
              <w:start w:w="120" w:type="dxa"/>
              <w:bottom w:w="90" w:type="dxa"/>
              <w:end w:w="120" w:type="dxa"/>
            </w:tcMar>
            <w:vAlign w:val="center"/>
          </w:tcPr>
          <w:p>
            <w:r>
              <w:rPr>
                <w:rFonts w:ascii="Times New Roman" w:hAnsi="Times New Roman"/>
                <w:b w:val="0"/>
                <w:i w:val="0"/>
                <w:sz w:val="18"/>
              </w:rPr>
              <w:t>49/50</w:t>
            </w:r>
          </w:p>
        </w:tc>
      </w:tr>
      <w:tr>
        <w:tc>
          <w:tcPr>
            <w:tcW w:type="dxa" w:w="6600"/>
            <w:tcMar>
              <w:top w:w="90" w:type="dxa"/>
              <w:start w:w="120" w:type="dxa"/>
              <w:bottom w:w="90" w:type="dxa"/>
              <w:end w:w="120" w:type="dxa"/>
            </w:tcMar>
            <w:vAlign w:val="center"/>
          </w:tcPr>
          <w:p>
            <w:r>
              <w:rPr>
                <w:rFonts w:ascii="Times New Roman" w:hAnsi="Times New Roman"/>
                <w:b w:val="0"/>
                <w:i w:val="0"/>
                <w:sz w:val="18"/>
              </w:rPr>
              <w:t>VST pre-host vs post-host Spearman</w:t>
            </w:r>
          </w:p>
        </w:tc>
        <w:tc>
          <w:tcPr>
            <w:tcW w:type="dxa" w:w="2760"/>
            <w:tcMar>
              <w:top w:w="90" w:type="dxa"/>
              <w:start w:w="120" w:type="dxa"/>
              <w:bottom w:w="90" w:type="dxa"/>
              <w:end w:w="120" w:type="dxa"/>
            </w:tcMar>
            <w:vAlign w:val="center"/>
          </w:tcPr>
          <w:p>
            <w:r>
              <w:rPr>
                <w:rFonts w:ascii="Times New Roman" w:hAnsi="Times New Roman"/>
                <w:b w:val="0"/>
                <w:i w:val="0"/>
                <w:sz w:val="18"/>
              </w:rPr>
              <w:t>0.961975</w:t>
            </w:r>
          </w:p>
        </w:tc>
      </w:tr>
    </w:tbl>
    <w:p>
      <w:pPr>
        <w:spacing w:before="60" w:after="120" w:line="240" w:lineRule="auto"/>
      </w:pPr>
      <w:r>
        <w:rPr>
          <w:rFonts w:ascii="Times New Roman" w:hAnsi="Times New Roman"/>
          <w:b w:val="0"/>
          <w:i/>
          <w:sz w:val="18"/>
        </w:rPr>
        <w:t>Values are computational and model-bounded; missing evidence remains unknown.</w:t>
      </w:r>
    </w:p>
    <w:p>
      <w:pPr>
        <w:widowControl/>
      </w:pPr>
      <w:r>
        <w:rPr>
          <w:rFonts w:ascii="Times New Roman" w:hAnsi="Times New Roman"/>
          <w:b w:val="0"/>
          <w:i w:val="0"/>
          <w:sz w:val="24"/>
        </w:rPr>
        <w:t>Cas-OFFinder and CRISPRitz ranks correlated at 0.880413 over all 257 frozen guides (Fig. 6). Their top-k overlaps were 9/10, 24/25 and 49/50. ViralSafeTarget pre-host and post-host ranks correlated at 0.961975 and retained identical membership at top 10, 25 and 50. In contrast, host-burden ranks showed low correlation with ViralSafeTarget composite ranks (0.085008–0.296323), as expected because the latter also incorporated viral conservation and annotation context.</w:t>
      </w:r>
    </w:p>
    <w:p>
      <w:pPr>
        <w:widowControl/>
      </w:pPr>
      <w:r>
        <w:rPr>
          <w:rFonts w:ascii="Times New Roman" w:hAnsi="Times New Roman"/>
          <w:b w:val="0"/>
          <w:i w:val="0"/>
          <w:sz w:val="24"/>
        </w:rPr>
        <w:t>The leave-one-component-out analysis showed greatest sensitivity to sequence complexity within this enriched panel: omitting it caused median absolute rank shift 75, maximum shift 230 and top-10 overlap 0 (Supplementary Fig. S1). Conservation, viral uniqueness, annotation and gene-evidence columns were constant in the selected panel, so their omission produced no rank change. This diagnoses the frozen panel and scoring configuration, not predictive correctness.</w:t>
      </w:r>
    </w:p>
    <w:p>
      <w:pPr>
        <w:pStyle w:val="Heading2"/>
      </w:pPr>
      <w:r>
        <w:t>The installed workflow generalized operationally to a second virus</w:t>
      </w:r>
    </w:p>
    <w:p>
      <w:pPr>
        <w:widowControl/>
      </w:pPr>
      <w:r>
        <w:rPr>
          <w:rFonts w:ascii="Times New Roman" w:hAnsi="Times New Roman"/>
          <w:b w:val="0"/>
          <w:i w:val="0"/>
          <w:sz w:val="24"/>
        </w:rPr>
        <w:t>The 0.10.0 wheel completed initialization, planning, execution, resumption, reporting and export outside the source checkout. The same installed interface retrieved and processed BK polyomavirus NC_001538.1 without core-code modification. It estimated 543 editor-compatible sites before a configured 500-row cap and completed annotation, virtual analyses, multiplex comparison and export. Host screening and population conservation remained unavailable, as no host assembly or multi-strain panel was supplied.</w:t>
      </w:r>
    </w:p>
    <w:p>
      <w:pPr>
        <w:pStyle w:val="Heading1"/>
      </w:pPr>
      <w:r>
        <w:t>Discussion</w:t>
      </w:r>
    </w:p>
    <w:p>
      <w:pPr>
        <w:widowControl/>
      </w:pPr>
      <w:r>
        <w:rPr>
          <w:rFonts w:ascii="Times New Roman" w:hAnsi="Times New Roman"/>
          <w:b w:val="0"/>
          <w:i w:val="0"/>
          <w:sz w:val="24"/>
        </w:rPr>
        <w:t>ViralSafeTarget addresses a decision problem that extends beyond guide generation. Its principal contribution is the auditable integration—and deliberate separation—of viral population support, host-search status, guide rank, gene-level targetability, predicted coding disruption, evidence provenance and exact-target multiplex robustness.</w:t>
      </w:r>
    </w:p>
    <w:p>
      <w:pPr>
        <w:widowControl/>
      </w:pPr>
      <w:r>
        <w:rPr>
          <w:rFonts w:ascii="Times New Roman" w:hAnsi="Times New Roman"/>
          <w:b w:val="0"/>
          <w:i w:val="0"/>
          <w:sz w:val="24"/>
        </w:rPr>
        <w:t>The HSV-2 case study illustrates why these axes should not be collapsed. UL36 contained the leading individual guide but provided a weaker gene portfolio. UL3 led gene targetability, while its direct HSV-2 biological importance remains unresolved.* UL30 and UL52 retained clearer HSV-1 replication-focused rationales*, yet did not occupy the first two targetability ranks. These differences define testable research questions; they do not establish therapeutic priority.</w:t>
      </w:r>
    </w:p>
    <w:p>
      <w:pPr>
        <w:widowControl/>
      </w:pPr>
      <w:r>
        <w:rPr>
          <w:rFonts w:ascii="Times New Roman" w:hAnsi="Times New Roman"/>
          <w:b w:val="0"/>
          <w:i w:val="0"/>
          <w:sz w:val="24"/>
        </w:rPr>
        <w:t>The independent host-search comparison increases confidence that the reported reference-genome burden is not unique to one search engine under matched settings. However, agreement cannot establish safety, and divergence from the composite rank is not evidence that ViralSafeTarget is more accurate. The systems answer overlapping but different questions.</w:t>
      </w:r>
    </w:p>
    <w:p>
      <w:pPr>
        <w:widowControl/>
      </w:pPr>
      <w:r>
        <w:rPr>
          <w:rFonts w:ascii="Times New Roman" w:hAnsi="Times New Roman"/>
          <w:b w:val="0"/>
          <w:i w:val="0"/>
          <w:sz w:val="24"/>
        </w:rPr>
        <w:t>To our knowledge, we did not identify an existing platform that jointly integrates multi-strain viral conservation, model-bounded host-genome risk, separate guide- and gene-level targetability, source-provenanced biological evidence, bounded coding disruption, and configured exact-target multiplex escape analysis in one reproducible project workflow. Individual capabilities are available in established tools, and the claim concerns integration rather than invention of each component.</w:t>
      </w:r>
    </w:p>
    <w:p>
      <w:pPr>
        <w:widowControl/>
      </w:pPr>
      <w:r>
        <w:rPr>
          <w:rFonts w:ascii="Times New Roman" w:hAnsi="Times New Roman"/>
          <w:b w:val="0"/>
          <w:i w:val="0"/>
          <w:sz w:val="24"/>
        </w:rPr>
        <w:t>The intended use is early-stage computational prioritization and transparent handoff to domain experts. Future work should complete human evidence review, obtain quantitative exports from additional guide-design systems, evaluate a fully multi-strain second virus, recruit external users, and compare computational ranks with experimental ground truth.</w:t>
      </w:r>
    </w:p>
    <w:p>
      <w:pPr>
        <w:pStyle w:val="Heading1"/>
      </w:pPr>
      <w:r>
        <w:t>Conclusions</w:t>
      </w:r>
    </w:p>
    <w:p>
      <w:pPr>
        <w:widowControl/>
      </w:pPr>
      <w:r>
        <w:rPr>
          <w:rFonts w:ascii="Times New Roman" w:hAnsi="Times New Roman"/>
          <w:b w:val="0"/>
          <w:i w:val="0"/>
          <w:sz w:val="24"/>
        </w:rPr>
        <w:t>ViralSafeTarget converts viral reference, population, annotation and host inputs into an auditable research shortlist with explicit uncertainty and provenance. Its HSV-2 case study demonstrates that guide quality, gene targetability, host-search burden, predicted disruption, evidence coverage and exact-target robustness are distinct properties. The software and frozen computational outputs support independent review and reproducibility, but not claims of editing, safety, viral inhibition, treatment or cure.</w:t>
      </w:r>
    </w:p>
    <w:p>
      <w:pPr>
        <w:pStyle w:val="Heading1"/>
      </w:pPr>
      <w:r>
        <w:t>Availability and requirements</w:t>
      </w:r>
    </w:p>
    <w:p>
      <w:pPr>
        <w:pStyle w:val="ListBullet"/>
        <w:keepLines/>
        <w:ind w:left="720" w:hanging="360"/>
      </w:pPr>
      <w:r>
        <w:rPr>
          <w:rFonts w:ascii="Times New Roman" w:hAnsi="Times New Roman"/>
          <w:b/>
          <w:i w:val="0"/>
          <w:sz w:val="24"/>
        </w:rPr>
        <w:t>Project name:</w:t>
      </w:r>
      <w:r>
        <w:rPr>
          <w:rFonts w:ascii="Times New Roman" w:hAnsi="Times New Roman"/>
          <w:b w:val="0"/>
          <w:i w:val="0"/>
          <w:sz w:val="24"/>
        </w:rPr>
        <w:t xml:space="preserve"> ViralSafeTarget</w:t>
      </w:r>
    </w:p>
    <w:p>
      <w:pPr>
        <w:pStyle w:val="ListBullet"/>
        <w:keepLines/>
        <w:ind w:left="720" w:hanging="360"/>
      </w:pPr>
      <w:r>
        <w:rPr>
          <w:rFonts w:ascii="Times New Roman" w:hAnsi="Times New Roman"/>
          <w:b/>
          <w:i w:val="0"/>
          <w:sz w:val="24"/>
        </w:rPr>
        <w:t>Project home page:</w:t>
      </w:r>
      <w:r>
        <w:rPr>
          <w:rFonts w:ascii="Times New Roman" w:hAnsi="Times New Roman"/>
          <w:b w:val="0"/>
          <w:i w:val="0"/>
          <w:sz w:val="24"/>
        </w:rPr>
        <w:t xml:space="preserve"> https://github.com/ronnuriel/ViralSafeTarget</w:t>
      </w:r>
    </w:p>
    <w:p>
      <w:pPr>
        <w:pStyle w:val="ListBullet"/>
        <w:keepLines/>
        <w:ind w:left="720" w:hanging="360"/>
      </w:pPr>
      <w:r>
        <w:rPr>
          <w:rFonts w:ascii="Times New Roman" w:hAnsi="Times New Roman"/>
          <w:b/>
          <w:i w:val="0"/>
          <w:sz w:val="24"/>
        </w:rPr>
        <w:t>Archived version:</w:t>
      </w:r>
      <w:r>
        <w:rPr>
          <w:rFonts w:ascii="Times New Roman" w:hAnsi="Times New Roman"/>
          <w:b w:val="0"/>
          <w:i w:val="0"/>
          <w:sz w:val="24"/>
        </w:rPr>
        <w:t xml:space="preserve"> [DOI PENDING]</w:t>
      </w:r>
    </w:p>
    <w:p>
      <w:pPr>
        <w:pStyle w:val="ListBullet"/>
        <w:keepLines/>
        <w:ind w:left="720" w:hanging="360"/>
      </w:pPr>
      <w:r>
        <w:rPr>
          <w:rFonts w:ascii="Times New Roman" w:hAnsi="Times New Roman"/>
          <w:b/>
          <w:i w:val="0"/>
          <w:sz w:val="24"/>
        </w:rPr>
        <w:t>Operating systems:</w:t>
      </w:r>
      <w:r>
        <w:rPr>
          <w:rFonts w:ascii="Times New Roman" w:hAnsi="Times New Roman"/>
          <w:b w:val="0"/>
          <w:i w:val="0"/>
          <w:sz w:val="24"/>
        </w:rPr>
        <w:t xml:space="preserve"> Platform-independent Python; external engines may have</w:t>
      </w:r>
    </w:p>
    <w:p>
      <w:pPr>
        <w:widowControl/>
      </w:pPr>
      <w:r>
        <w:rPr>
          <w:rFonts w:ascii="Times New Roman" w:hAnsi="Times New Roman"/>
          <w:b w:val="0"/>
          <w:i w:val="0"/>
          <w:sz w:val="24"/>
        </w:rPr>
        <w:t>platform-specific requirements</w:t>
      </w:r>
    </w:p>
    <w:p>
      <w:pPr>
        <w:pStyle w:val="ListBullet"/>
        <w:keepLines/>
        <w:ind w:left="720" w:hanging="360"/>
      </w:pPr>
      <w:r>
        <w:rPr>
          <w:rFonts w:ascii="Times New Roman" w:hAnsi="Times New Roman"/>
          <w:b/>
          <w:i w:val="0"/>
          <w:sz w:val="24"/>
        </w:rPr>
        <w:t>Programming language:</w:t>
      </w:r>
      <w:r>
        <w:rPr>
          <w:rFonts w:ascii="Times New Roman" w:hAnsi="Times New Roman"/>
          <w:b w:val="0"/>
          <w:i w:val="0"/>
          <w:sz w:val="24"/>
        </w:rPr>
        <w:t xml:space="preserve"> Python 3.10 or later</w:t>
      </w:r>
    </w:p>
    <w:p>
      <w:pPr>
        <w:pStyle w:val="ListBullet"/>
        <w:keepLines/>
        <w:ind w:left="720" w:hanging="360"/>
      </w:pPr>
      <w:r>
        <w:rPr>
          <w:rFonts w:ascii="Times New Roman" w:hAnsi="Times New Roman"/>
          <w:b/>
          <w:i w:val="0"/>
          <w:sz w:val="24"/>
        </w:rPr>
        <w:t>Other requirements:</w:t>
      </w:r>
      <w:r>
        <w:rPr>
          <w:rFonts w:ascii="Times New Roman" w:hAnsi="Times New Roman"/>
          <w:b w:val="0"/>
          <w:i w:val="0"/>
          <w:sz w:val="24"/>
        </w:rPr>
        <w:t xml:space="preserve"> Optional MAFFT, Cas-OFFinder and CRISPRitz for corresponding</w:t>
      </w:r>
    </w:p>
    <w:p>
      <w:pPr>
        <w:widowControl/>
      </w:pPr>
      <w:r>
        <w:rPr>
          <w:rFonts w:ascii="Times New Roman" w:hAnsi="Times New Roman"/>
          <w:b w:val="0"/>
          <w:i w:val="0"/>
          <w:sz w:val="24"/>
        </w:rPr>
        <w:t>stages; missing tools remain explicit</w:t>
      </w:r>
    </w:p>
    <w:p>
      <w:pPr>
        <w:pStyle w:val="ListBullet"/>
        <w:keepLines/>
        <w:ind w:left="720" w:hanging="360"/>
      </w:pPr>
      <w:r>
        <w:rPr>
          <w:rFonts w:ascii="Times New Roman" w:hAnsi="Times New Roman"/>
          <w:b/>
          <w:i w:val="0"/>
          <w:sz w:val="24"/>
        </w:rPr>
        <w:t>License:</w:t>
      </w:r>
      <w:r>
        <w:rPr>
          <w:rFonts w:ascii="Times New Roman" w:hAnsi="Times New Roman"/>
          <w:b w:val="0"/>
          <w:i w:val="0"/>
          <w:sz w:val="24"/>
        </w:rPr>
        <w:t xml:space="preserve"> MIT</w:t>
      </w:r>
    </w:p>
    <w:p>
      <w:pPr>
        <w:pStyle w:val="ListBullet"/>
        <w:keepLines/>
        <w:ind w:left="720" w:hanging="360"/>
      </w:pPr>
      <w:r>
        <w:rPr>
          <w:rFonts w:ascii="Times New Roman" w:hAnsi="Times New Roman"/>
          <w:b/>
          <w:i w:val="0"/>
          <w:sz w:val="24"/>
        </w:rPr>
        <w:t>Restrictions for non-academic use:</w:t>
      </w:r>
      <w:r>
        <w:rPr>
          <w:rFonts w:ascii="Times New Roman" w:hAnsi="Times New Roman"/>
          <w:b w:val="0"/>
          <w:i w:val="0"/>
          <w:sz w:val="24"/>
        </w:rPr>
        <w:t xml:space="preserve"> None under the MIT license</w:t>
      </w:r>
    </w:p>
    <w:p>
      <w:pPr>
        <w:pStyle w:val="Heading1"/>
      </w:pPr>
      <w:r>
        <w:t>List of abbreviations</w:t>
      </w:r>
    </w:p>
    <w:p>
      <w:pPr>
        <w:widowControl/>
      </w:pPr>
      <w:r>
        <w:rPr>
          <w:rFonts w:ascii="Times New Roman" w:hAnsi="Times New Roman"/>
          <w:b w:val="0"/>
          <w:i w:val="0"/>
          <w:sz w:val="24"/>
        </w:rPr>
        <w:t>CDS: coding sequence; CI: confidence interval; CRISPR: clustered regularly interspaced short palindromic repeats; GFF3: General Feature Format version 3; HSV-1: herpes simplex virus 1; HSV-2: herpes simplex virus 2; PAM: protospacer-adjacent motif; SNV: single-nucleotide variant; VST: ViralSafeTarget.</w:t>
      </w:r>
    </w:p>
    <w:p>
      <w:pPr>
        <w:pStyle w:val="Heading1"/>
      </w:pPr>
      <w:r>
        <w:t>Declarations</w:t>
      </w:r>
    </w:p>
    <w:p>
      <w:pPr>
        <w:pStyle w:val="Heading2"/>
      </w:pPr>
      <w:r>
        <w:t>Ethics approval and consent to participate</w:t>
      </w:r>
    </w:p>
    <w:p>
      <w:pPr>
        <w:widowControl/>
      </w:pPr>
      <w:r>
        <w:rPr>
          <w:rFonts w:ascii="Times New Roman" w:hAnsi="Times New Roman"/>
          <w:b w:val="0"/>
          <w:i w:val="0"/>
          <w:sz w:val="24"/>
        </w:rPr>
        <w:t>Not applicable. This computational study used publicly available viral and reference genome data and did not involve human participants, human tissue or animals.</w:t>
      </w:r>
    </w:p>
    <w:p>
      <w:pPr>
        <w:pStyle w:val="Heading2"/>
      </w:pPr>
      <w:r>
        <w:t>Consent for publication</w:t>
      </w:r>
    </w:p>
    <w:p>
      <w:pPr>
        <w:widowControl/>
      </w:pPr>
      <w:r>
        <w:rPr>
          <w:rFonts w:ascii="Times New Roman" w:hAnsi="Times New Roman"/>
          <w:b w:val="0"/>
          <w:i w:val="0"/>
          <w:sz w:val="24"/>
        </w:rPr>
        <w:t>Not applicable.</w:t>
      </w:r>
    </w:p>
    <w:p>
      <w:pPr>
        <w:pStyle w:val="Heading2"/>
      </w:pPr>
      <w:r>
        <w:t>Availability of data and materials</w:t>
      </w:r>
    </w:p>
    <w:p>
      <w:pPr>
        <w:widowControl/>
      </w:pPr>
      <w:r>
        <w:rPr>
          <w:rFonts w:ascii="Times New Roman" w:hAnsi="Times New Roman"/>
          <w:b w:val="0"/>
          <w:i w:val="0"/>
          <w:sz w:val="24"/>
        </w:rPr>
        <w:t>Source code and compact result snapshots are available at https://github.com/ronnuriel/ViralSafeTarget. The archived software and supporting data release will be cited here after DOI minting: [DOI PENDING]. Public sequence accessions, configuration files, checksums and provenance manifests are included in the repository and additional files.</w:t>
      </w:r>
    </w:p>
    <w:p>
      <w:pPr>
        <w:pStyle w:val="Heading2"/>
      </w:pPr>
      <w:r>
        <w:t>Competing interests</w:t>
      </w:r>
    </w:p>
    <w:p>
      <w:pPr>
        <w:widowControl/>
      </w:pPr>
      <w:r>
        <w:rPr>
          <w:rFonts w:ascii="Times New Roman" w:hAnsi="Times New Roman"/>
          <w:b w:val="0"/>
          <w:i w:val="0"/>
          <w:sz w:val="24"/>
        </w:rPr>
        <w:t>The authors declare no competing interests. [AUTHOR CONFIRMATION REQUIRED]</w:t>
      </w:r>
    </w:p>
    <w:p>
      <w:pPr>
        <w:pStyle w:val="Heading2"/>
      </w:pPr>
      <w:r>
        <w:t>Funding</w:t>
      </w:r>
    </w:p>
    <w:p>
      <w:pPr>
        <w:widowControl/>
      </w:pPr>
      <w:r>
        <w:rPr>
          <w:rFonts w:ascii="Times New Roman" w:hAnsi="Times New Roman"/>
          <w:b w:val="0"/>
          <w:i w:val="0"/>
          <w:sz w:val="24"/>
        </w:rPr>
        <w:t>No external funding was reported for this work. [AUTHOR CONFIRMATION REQUIRED]</w:t>
      </w:r>
    </w:p>
    <w:p>
      <w:pPr>
        <w:pStyle w:val="Heading2"/>
      </w:pPr>
      <w:r>
        <w:t>Authors' contributions</w:t>
      </w:r>
    </w:p>
    <w:p>
      <w:pPr>
        <w:widowControl/>
      </w:pPr>
      <w:r>
        <w:rPr>
          <w:rFonts w:ascii="Times New Roman" w:hAnsi="Times New Roman"/>
          <w:b w:val="0"/>
          <w:i w:val="0"/>
          <w:sz w:val="24"/>
        </w:rPr>
        <w:t>RN conceived the project, implemented and evaluated the software, interpreted the computational findings and prepared the manuscript. SC's contribution statement is [SAREL COHEN CONTRIBUTION REQUIRED]. Both authors reviewed and approved the final manuscript. [AUTHOR CONFIRMATION REQUIRED]</w:t>
      </w:r>
    </w:p>
    <w:p>
      <w:pPr>
        <w:pStyle w:val="Heading2"/>
      </w:pPr>
      <w:r>
        <w:t>Acknowledgements</w:t>
      </w:r>
    </w:p>
    <w:p>
      <w:pPr>
        <w:widowControl/>
      </w:pPr>
      <w:r>
        <w:rPr>
          <w:rFonts w:ascii="Times New Roman" w:hAnsi="Times New Roman"/>
          <w:b w:val="0"/>
          <w:i w:val="0"/>
          <w:sz w:val="24"/>
        </w:rPr>
        <w:t>Generative AI systems assisted with code organization, documentation, query preparation and language editing under author supervision. AI systems are not authors. Biological claims marked with an asterisk remain pending human verification. [AUTHOR CONFIRMATION REQUIRED]</w:t>
      </w:r>
    </w:p>
    <w:p>
      <w:pPr>
        <w:pStyle w:val="Heading2"/>
      </w:pPr>
      <w:r>
        <w:t>Authors' information</w:t>
      </w:r>
    </w:p>
    <w:p>
      <w:pPr>
        <w:widowControl/>
      </w:pPr>
      <w:r>
        <w:rPr>
          <w:rFonts w:ascii="Times New Roman" w:hAnsi="Times New Roman"/>
          <w:b w:val="0"/>
          <w:i w:val="0"/>
          <w:sz w:val="24"/>
        </w:rPr>
        <w:t>[OPTIONAL AUTHOR INFORMATION]</w:t>
      </w:r>
    </w:p>
    <w:p>
      <w:pPr>
        <w:pStyle w:val="Heading1"/>
      </w:pPr>
      <w:r>
        <w:t>References</w:t>
      </w:r>
    </w:p>
    <w:p>
      <w:pPr>
        <w:keepLines/>
        <w:ind w:left="360" w:hanging="360"/>
      </w:pPr>
      <w:r>
        <w:rPr>
          <w:rFonts w:ascii="Times New Roman" w:hAnsi="Times New Roman"/>
          <w:b w:val="0"/>
          <w:i w:val="0"/>
          <w:sz w:val="24"/>
        </w:rPr>
        <w:t>1. Jinek M, Chylinski K, Fonfara I, Hauer M, Doudna JA, Charpentier E. A programmable dual-RNA-guided DNA endonuclease in adaptive bacterial immunity. Science. 2012;337:816–821. doi:10.1126/science.1225829.</w:t>
      </w:r>
    </w:p>
    <w:p>
      <w:pPr>
        <w:keepLines/>
        <w:ind w:left="360" w:hanging="360"/>
      </w:pPr>
      <w:r>
        <w:rPr>
          <w:rFonts w:ascii="Times New Roman" w:hAnsi="Times New Roman"/>
          <w:b w:val="0"/>
          <w:i w:val="0"/>
          <w:sz w:val="24"/>
        </w:rPr>
        <w:t>2. Concordet JP, Haeussler M. CRISPOR: intuitive guide selection for CRISPR/Cas9 genome editing experiments and screens. Nucleic Acids Res. 2018;46:W242–W245. doi:10.1093/nar/gky354.</w:t>
      </w:r>
    </w:p>
    <w:p>
      <w:pPr>
        <w:keepLines/>
        <w:ind w:left="360" w:hanging="360"/>
      </w:pPr>
      <w:r>
        <w:rPr>
          <w:rFonts w:ascii="Times New Roman" w:hAnsi="Times New Roman"/>
          <w:b w:val="0"/>
          <w:i w:val="0"/>
          <w:sz w:val="24"/>
        </w:rPr>
        <w:t>3. Labun K, Montague TG, Krause M, Torres Cleuren YN, Tjeldnes H, Valen E. CHOPCHOP v3: expanding the CRISPR web toolbox beyond genome editing. Nucleic Acids Res. 2019;47:W171–W174. doi:10.1093/nar/gkz365.</w:t>
      </w:r>
    </w:p>
    <w:p>
      <w:pPr>
        <w:keepLines/>
        <w:ind w:left="360" w:hanging="360"/>
      </w:pPr>
      <w:r>
        <w:rPr>
          <w:rFonts w:ascii="Times New Roman" w:hAnsi="Times New Roman"/>
          <w:b w:val="0"/>
          <w:i w:val="0"/>
          <w:sz w:val="24"/>
        </w:rPr>
        <w:t>4. Bae S, Park J, Kim JS. Cas-OFFinder: a fast and versatile algorithm that searches for potential off-target sites of Cas9 RNA-guided endonucleases. Bioinformatics. 2014;30:1473–1475. doi:10.1093/bioinformatics/btu048.</w:t>
      </w:r>
    </w:p>
    <w:p>
      <w:pPr>
        <w:keepLines/>
        <w:ind w:left="360" w:hanging="360"/>
      </w:pPr>
      <w:r>
        <w:rPr>
          <w:rFonts w:ascii="Times New Roman" w:hAnsi="Times New Roman"/>
          <w:b w:val="0"/>
          <w:i w:val="0"/>
          <w:sz w:val="24"/>
        </w:rPr>
        <w:t>5. Cancellieri S, Canver MC, Bombieri N, Giugno R, Pinello L. CRISPRitz: rapid, high-throughput and variant-aware in silico off-target site identification for CRISPR genome editing. Bioinformatics. 2020;36:2001–2008. doi:10.1093/bioinformatics/btz867.</w:t>
      </w:r>
    </w:p>
    <w:p>
      <w:pPr>
        <w:keepLines/>
        <w:ind w:left="360" w:hanging="360"/>
      </w:pPr>
      <w:r>
        <w:rPr>
          <w:rFonts w:ascii="Times New Roman" w:hAnsi="Times New Roman"/>
          <w:b w:val="0"/>
          <w:i w:val="0"/>
          <w:sz w:val="24"/>
        </w:rPr>
        <w:t>6. Schmidt H, Zhang M, Mourelatos H, Sánchez-Rivera FJ, Lowe SW, Ventura A, et al. GuideScan2 for improved CRISPR guide RNA design. Nat Biotechnol. 2022;40:789–790. doi:10.1038/s41587-022-01278-8.</w:t>
      </w:r>
    </w:p>
    <w:p>
      <w:pPr>
        <w:keepLines/>
        <w:ind w:left="360" w:hanging="360"/>
      </w:pPr>
      <w:r>
        <w:rPr>
          <w:rFonts w:ascii="Times New Roman" w:hAnsi="Times New Roman"/>
          <w:b w:val="0"/>
          <w:i w:val="0"/>
          <w:sz w:val="24"/>
        </w:rPr>
        <w:t>7. Katoh K, Standley DM. MAFFT multiple sequence alignment software version 7: improvements in performance and usability. Mol Biol Evol. 2013;30:772–780. doi:10.1093/molbev/mst010.</w:t>
      </w:r>
    </w:p>
    <w:p>
      <w:pPr>
        <w:keepLines/>
        <w:ind w:left="360" w:hanging="360"/>
      </w:pPr>
      <w:r>
        <w:rPr>
          <w:rFonts w:ascii="Times New Roman" w:hAnsi="Times New Roman"/>
          <w:b w:val="0"/>
          <w:i w:val="0"/>
          <w:sz w:val="24"/>
        </w:rPr>
        <w:t>8. National Center for Biotechnology Information. Human alphaherpesvirus 2 reference genome NC_001798.2. NCBI Nucleotide. https://www.ncbi.nlm.nih.gov/nuccore/NC_001798.2. Accessed 16 Jul 2026.</w:t>
      </w:r>
    </w:p>
    <w:p>
      <w:pPr>
        <w:keepLines/>
        <w:ind w:left="360" w:hanging="360"/>
      </w:pPr>
      <w:r>
        <w:rPr>
          <w:rFonts w:ascii="Times New Roman" w:hAnsi="Times New Roman"/>
          <w:b w:val="0"/>
          <w:i w:val="0"/>
          <w:sz w:val="24"/>
        </w:rPr>
        <w:t>9. National Center for Biotechnology Information. GRCh38.p14 assembly GCF_000001405.40. NCBI Assembly. https://www.ncbi.nlm.nih.gov/datasets/genome/GCF_000001405.40/. Accessed 16 Jul 2026.</w:t>
      </w:r>
    </w:p>
    <w:p>
      <w:pPr>
        <w:keepLines/>
        <w:ind w:left="360" w:hanging="360"/>
      </w:pPr>
      <w:r>
        <w:rPr>
          <w:rFonts w:ascii="Times New Roman" w:hAnsi="Times New Roman"/>
          <w:b w:val="0"/>
          <w:i w:val="0"/>
          <w:sz w:val="24"/>
        </w:rPr>
        <w:t>10. Springer Nature. BMC Bioinformatics Software article submission guidelines. https://link.springer.com/journal/12859/submission-guidelines/software-article. Accessed 16 Jul 2026.</w:t>
      </w:r>
    </w:p>
    <w:p>
      <w:pPr>
        <w:keepLines/>
        <w:ind w:left="360" w:hanging="360"/>
      </w:pPr>
      <w:r>
        <w:rPr>
          <w:rFonts w:ascii="Times New Roman" w:hAnsi="Times New Roman"/>
          <w:b w:val="0"/>
          <w:i w:val="0"/>
          <w:sz w:val="24"/>
        </w:rPr>
        <w:t>11. Markovitz NS, Filatov F, Roizman B. The UL3 protein of herpes simplex virus 1 is translated predominantly from the second in-frame methionine codon and is subject to at least two posttranslational modifications. J Virol. 1999;73:8010–8018. doi:10.1128/JVI.73.10.8010-8018.1999. PMID:10482549.*</w:t>
      </w:r>
    </w:p>
    <w:p>
      <w:pPr>
        <w:keepLines/>
        <w:ind w:left="360" w:hanging="360"/>
      </w:pPr>
      <w:r>
        <w:rPr>
          <w:rFonts w:ascii="Times New Roman" w:hAnsi="Times New Roman"/>
          <w:b w:val="0"/>
          <w:i w:val="0"/>
          <w:sz w:val="24"/>
        </w:rPr>
        <w:t>12. MacLean CA, Robertson LM, Jamieson FE. Characterization of the UL10 gene product of herpes simplex virus type 1 and investigation of its role in vivo. J Gen Virol. 1993;74:975–983. doi:10.1099/0022-1317-74-6-975. PMID:8389812.*</w:t>
      </w:r>
    </w:p>
    <w:p>
      <w:pPr>
        <w:keepLines/>
        <w:ind w:left="360" w:hanging="360"/>
      </w:pPr>
      <w:r>
        <w:rPr>
          <w:rFonts w:ascii="Times New Roman" w:hAnsi="Times New Roman"/>
          <w:b w:val="0"/>
          <w:i w:val="0"/>
          <w:sz w:val="24"/>
        </w:rPr>
        <w:t>13. Fulmer PA, Melancon JM, Baines JD, Kousoulas KG. UL20 protein functions precede and are required for the UL11 functions of herpes simplex virus type 1 cytoplasmic virion envelopment. J Virol. 2007;81:3097–3108. doi:10.1128/JVI.02201-06. PMID:17215291.*</w:t>
      </w:r>
    </w:p>
    <w:p>
      <w:pPr>
        <w:keepLines/>
        <w:ind w:left="360" w:hanging="360"/>
      </w:pPr>
      <w:r>
        <w:rPr>
          <w:rFonts w:ascii="Times New Roman" w:hAnsi="Times New Roman"/>
          <w:b w:val="0"/>
          <w:i w:val="0"/>
          <w:sz w:val="24"/>
        </w:rPr>
        <w:t>14. Newcomb WW, Trus BL, Cheng N, Steven AC, Sheaffer AK, Tenney DJ, et al. Isolation of herpes simplex virus procapsids from cells infected with a protease-deficient mutant virus. J Virol. 2000;74:1663–1673. PMID:10644336.*</w:t>
      </w:r>
    </w:p>
    <w:p>
      <w:pPr>
        <w:keepLines/>
        <w:ind w:left="360" w:hanging="360"/>
      </w:pPr>
      <w:r>
        <w:rPr>
          <w:rFonts w:ascii="Times New Roman" w:hAnsi="Times New Roman"/>
          <w:b w:val="0"/>
          <w:i w:val="0"/>
          <w:sz w:val="24"/>
        </w:rPr>
        <w:t>15. Desai PJ. A null mutation in the UL36 gene of herpes simplex virus type 1 results in accumulation of unenveloped DNA-filled capsids in the cytoplasm of infected cells. J Virol. 2000;74:11608–11618. doi:10.1128/JVI.74.24.11608-11618.2000. PMID:11090159.*</w:t>
      </w:r>
    </w:p>
    <w:p>
      <w:pPr>
        <w:keepLines/>
        <w:ind w:left="360" w:hanging="360"/>
      </w:pPr>
      <w:r>
        <w:rPr>
          <w:rFonts w:ascii="Times New Roman" w:hAnsi="Times New Roman"/>
          <w:b w:val="0"/>
          <w:i w:val="0"/>
          <w:sz w:val="24"/>
        </w:rPr>
        <w:t>16. Klinedinst DK, Challberg MD. Helicase-primase complex of herpes simplex virus type 1: a mutation in the UL52 subunit abolishes primase activity. J Virol. 1994;68:3693–3701. doi:10.1128/JVI.68.6.3693-3701.1994. PMID:8189507.*</w:t>
      </w:r>
    </w:p>
    <w:p>
      <w:pPr>
        <w:keepLines/>
        <w:ind w:left="360" w:hanging="360"/>
      </w:pPr>
      <w:r>
        <w:rPr>
          <w:rFonts w:ascii="Times New Roman" w:hAnsi="Times New Roman"/>
          <w:b w:val="0"/>
          <w:i w:val="0"/>
          <w:sz w:val="24"/>
        </w:rPr>
        <w:t>17. Stow ND. Sequences at the C-terminus of the herpes simplex virus type 1 UL30 protein are dispensable for DNA polymerase activity but not for viral origin-dependent DNA replication. Nucleic Acids Res. 1993;21:87–92. doi:10.1093/nar/21.1.87. PMID:8382792.*</w:t>
      </w:r>
    </w:p>
    <w:p>
      <w:pPr>
        <w:keepLines/>
        <w:ind w:left="360" w:hanging="360"/>
      </w:pPr>
      <w:r>
        <w:rPr>
          <w:rFonts w:ascii="Times New Roman" w:hAnsi="Times New Roman"/>
          <w:b w:val="0"/>
          <w:i w:val="0"/>
          <w:sz w:val="24"/>
        </w:rPr>
        <w:t>18. Jayachandra S, Baghian A, Kousoulas KG. Herpes simplex virus type 1 glycoprotein K is not essential for infectious virus production in actively replicating cells but is required for efficient envelopment and translocation of infectious virions from the cytoplasm to the extracellular space. J Virol. 1997;71:5012–5024. doi:10.1128/JVI.71.7.5012-5024.1997. PMID:9188566.*</w:t>
      </w:r>
    </w:p>
    <w:p>
      <w:pPr>
        <w:keepLines/>
        <w:ind w:left="360" w:hanging="360"/>
      </w:pPr>
      <w:r>
        <w:rPr>
          <w:rFonts w:ascii="Times New Roman" w:hAnsi="Times New Roman"/>
          <w:b w:val="0"/>
          <w:i w:val="0"/>
          <w:sz w:val="24"/>
        </w:rPr>
        <w:t>19. Jin F, Li S, Zheng K, Zhuo C, Ma K, Chen M, et al. Silencing herpes simplex virus type 1 capsid protein encoding genes by siRNA: a promising antiviral therapeutic approach. PLoS One. 2014;9:e96623. doi:10.1371/journal.pone.0096623. PMID:24794394.*</w:t>
      </w:r>
    </w:p>
    <w:p>
      <w:pPr>
        <w:keepLines/>
        <w:ind w:left="360" w:hanging="360"/>
      </w:pPr>
      <w:r>
        <w:rPr>
          <w:rFonts w:ascii="Times New Roman" w:hAnsi="Times New Roman"/>
          <w:b w:val="0"/>
          <w:i w:val="0"/>
          <w:sz w:val="24"/>
        </w:rPr>
        <w:t>20. ViralSafeTarget contributors. ViralSafeTarget source repository. https://github.com/ronnuriel/ViralSafeTarget. Accessed 16 Jul 2026.</w:t>
      </w:r>
    </w:p>
    <w:p>
      <w:pPr>
        <w:pStyle w:val="Heading1"/>
      </w:pPr>
      <w:r>
        <w:t>Figure legends</w:t>
      </w:r>
    </w:p>
    <w:p>
      <w:pPr>
        <w:widowControl/>
      </w:pPr>
      <w:r>
        <w:rPr>
          <w:rFonts w:ascii="Times New Roman" w:hAnsi="Times New Roman"/>
          <w:b/>
          <w:i w:val="0"/>
          <w:sz w:val="24"/>
        </w:rPr>
        <w:t>Figure 1. ViralSafeTarget separates complementary viral target decision layers.</w:t>
      </w:r>
      <w:r>
        <w:rPr>
          <w:rFonts w:ascii="Times New Roman" w:hAnsi="Times New Roman"/>
          <w:b w:val="0"/>
          <w:i w:val="0"/>
          <w:sz w:val="24"/>
        </w:rPr>
        <w:t xml:space="preserve"> Versioned inputs pass through viral conservation, annotation, host screening, separate guide and gene ranking, coding-disruption hypotheses, exact-target robustness and human-reviewed evidence. Outputs remain research candidates rather than treatment recommendations.</w:t>
      </w:r>
    </w:p>
    <w:p>
      <w:pPr>
        <w:widowControl/>
      </w:pPr>
      <w:r>
        <w:rPr>
          <w:rFonts w:ascii="Times New Roman" w:hAnsi="Times New Roman"/>
          <w:b/>
          <w:i w:val="0"/>
          <w:sz w:val="24"/>
        </w:rPr>
        <w:t>Figure 2. Exhaustive HSV-2 screen and bounded host-search funnel.</w:t>
      </w:r>
      <w:r>
        <w:rPr>
          <w:rFonts w:ascii="Times New Roman" w:hAnsi="Times New Roman"/>
          <w:b w:val="0"/>
          <w:i w:val="0"/>
          <w:sz w:val="24"/>
        </w:rPr>
        <w:t xml:space="preserve"> Counts are verified from committed source tables. The 2,668 zero-hit rows had no predicted GRCh38.p14 match through three mismatches under the configured SpCas9 model; this is not evidence of safety.</w:t>
      </w:r>
    </w:p>
    <w:p>
      <w:pPr>
        <w:widowControl/>
      </w:pPr>
      <w:r>
        <w:rPr>
          <w:rFonts w:ascii="Times New Roman" w:hAnsi="Times New Roman"/>
          <w:b/>
          <w:i w:val="0"/>
          <w:sz w:val="24"/>
        </w:rPr>
        <w:t>Figure 3. Individual-guide rank diverges from gene targetability rank.</w:t>
      </w:r>
      <w:r>
        <w:rPr>
          <w:rFonts w:ascii="Times New Roman" w:hAnsi="Times New Roman"/>
          <w:b w:val="0"/>
          <w:i w:val="0"/>
          <w:sz w:val="24"/>
        </w:rPr>
        <w:t xml:space="preserve"> Gene targetability ranks use candidate portfolios. The leading individual guide maps to UL36, while UL36 ranks 21st as a gene and UL3 leads the gene-level table.</w:t>
      </w:r>
    </w:p>
    <w:p>
      <w:pPr>
        <w:widowControl/>
      </w:pPr>
      <w:r>
        <w:rPr>
          <w:rFonts w:ascii="Times New Roman" w:hAnsi="Times New Roman"/>
          <w:b/>
          <w:i w:val="0"/>
          <w:sz w:val="24"/>
        </w:rPr>
        <w:t>Figure 4. Frozen-panel coding mappings preserve overlapping annotations.</w:t>
      </w:r>
      <w:r>
        <w:rPr>
          <w:rFonts w:ascii="Times New Roman" w:hAnsi="Times New Roman"/>
          <w:b w:val="0"/>
          <w:i w:val="0"/>
          <w:sz w:val="24"/>
        </w:rPr>
        <w:t xml:space="preserve"> The 257-guide panel produced 271 guide-to-CDS mappings; 250 guides mapped to at least one CDS. Values describe annotation coverage, not editing outcomes.</w:t>
      </w:r>
    </w:p>
    <w:p>
      <w:pPr>
        <w:widowControl/>
      </w:pPr>
      <w:r>
        <w:rPr>
          <w:rFonts w:ascii="Times New Roman" w:hAnsi="Times New Roman"/>
          <w:b/>
          <w:i w:val="0"/>
          <w:sz w:val="24"/>
        </w:rPr>
        <w:t>Figure 5. Configured panels show exact-target sequence barriers.</w:t>
      </w:r>
      <w:r>
        <w:rPr>
          <w:rFonts w:ascii="Times New Roman" w:hAnsi="Times New Roman"/>
          <w:b w:val="0"/>
          <w:i w:val="0"/>
          <w:sz w:val="24"/>
        </w:rPr>
        <w:t xml:space="preserve"> All four three-guide panels required three distinct substitutions to remove every exact guide/PAM target. Held-out values are marginal per-guide observations. Barriers are not evolutionary probabilities.</w:t>
      </w:r>
    </w:p>
    <w:p>
      <w:pPr>
        <w:widowControl/>
      </w:pPr>
      <w:r>
        <w:rPr>
          <w:rFonts w:ascii="Times New Roman" w:hAnsi="Times New Roman"/>
          <w:b/>
          <w:i w:val="0"/>
          <w:sz w:val="24"/>
        </w:rPr>
        <w:t>Figure 6. Host-search rankings agree more closely than composite rankings.</w:t>
      </w:r>
      <w:r>
        <w:rPr>
          <w:rFonts w:ascii="Times New Roman" w:hAnsi="Times New Roman"/>
          <w:b w:val="0"/>
          <w:i w:val="0"/>
          <w:sz w:val="24"/>
        </w:rPr>
        <w:t xml:space="preserve"> Cas-OFFinder and CRISPRitz were compared on the same 257 guides. ViralSafeTarget ranks include viral and annotation features and therefore address a broader prioritization axis; divergence is not evidence of superiority.</w:t>
      </w:r>
    </w:p>
    <w:p>
      <w:pPr>
        <w:pStyle w:val="Heading1"/>
      </w:pPr>
      <w:r>
        <w:t>Additional files</w:t>
      </w:r>
    </w:p>
    <w:p>
      <w:pPr>
        <w:pStyle w:val="ListBullet"/>
        <w:keepLines/>
        <w:ind w:left="720" w:hanging="360"/>
      </w:pPr>
      <w:r>
        <w:rPr>
          <w:rFonts w:ascii="Times New Roman" w:hAnsi="Times New Roman"/>
          <w:b/>
          <w:i w:val="0"/>
          <w:sz w:val="24"/>
        </w:rPr>
        <w:t>Additional file 1:</w:t>
      </w:r>
      <w:r>
        <w:rPr>
          <w:rFonts w:ascii="Times New Roman" w:hAnsi="Times New Roman"/>
          <w:b w:val="0"/>
          <w:i w:val="0"/>
          <w:sz w:val="24"/>
        </w:rPr>
        <w:t xml:space="preserve"> Supplementary Figure S1 (PDF). Leave-one-component-out rank</w:t>
      </w:r>
    </w:p>
    <w:p>
      <w:pPr>
        <w:widowControl/>
      </w:pPr>
      <w:r>
        <w:rPr>
          <w:rFonts w:ascii="Times New Roman" w:hAnsi="Times New Roman"/>
          <w:b w:val="0"/>
          <w:i w:val="0"/>
          <w:sz w:val="24"/>
        </w:rPr>
        <w:t>sensitivity on the frozen deep panel.</w:t>
      </w:r>
    </w:p>
    <w:p>
      <w:pPr>
        <w:pStyle w:val="ListBullet"/>
        <w:keepLines/>
        <w:ind w:left="720" w:hanging="360"/>
      </w:pPr>
      <w:r>
        <w:rPr>
          <w:rFonts w:ascii="Times New Roman" w:hAnsi="Times New Roman"/>
          <w:b/>
          <w:i w:val="0"/>
          <w:sz w:val="24"/>
        </w:rPr>
        <w:t>Additional file 2:</w:t>
      </w:r>
      <w:r>
        <w:rPr>
          <w:rFonts w:ascii="Times New Roman" w:hAnsi="Times New Roman"/>
          <w:b w:val="0"/>
          <w:i w:val="0"/>
          <w:sz w:val="24"/>
        </w:rPr>
        <w:t xml:space="preserve"> Machine-readable source tables (ZIP). Tables underlying the</w:t>
      </w:r>
    </w:p>
    <w:p>
      <w:pPr>
        <w:widowControl/>
      </w:pPr>
      <w:r>
        <w:rPr>
          <w:rFonts w:ascii="Times New Roman" w:hAnsi="Times New Roman"/>
          <w:b w:val="0"/>
          <w:i w:val="0"/>
          <w:sz w:val="24"/>
        </w:rPr>
        <w:t>reported counts, rankings, virtual analyses and benchmark figures.</w:t>
      </w:r>
    </w:p>
    <w:p>
      <w:pPr>
        <w:pStyle w:val="ListBullet"/>
        <w:keepLines/>
        <w:ind w:left="720" w:hanging="360"/>
      </w:pPr>
      <w:r>
        <w:rPr>
          <w:rFonts w:ascii="Times New Roman" w:hAnsi="Times New Roman"/>
          <w:b/>
          <w:i w:val="0"/>
          <w:sz w:val="24"/>
        </w:rPr>
        <w:t>Additional file 3:</w:t>
      </w:r>
      <w:r>
        <w:rPr>
          <w:rFonts w:ascii="Times New Roman" w:hAnsi="Times New Roman"/>
          <w:b w:val="0"/>
          <w:i w:val="0"/>
          <w:sz w:val="24"/>
        </w:rPr>
        <w:t xml:space="preserve"> ViralSafeTarget 0.10.0 source archive (ZIP) with SHA-256</w:t>
      </w:r>
    </w:p>
    <w:p>
      <w:pPr>
        <w:widowControl/>
      </w:pPr>
      <w:r>
        <w:rPr>
          <w:rFonts w:ascii="Times New Roman" w:hAnsi="Times New Roman"/>
          <w:b w:val="0"/>
          <w:i w:val="0"/>
          <w:sz w:val="24"/>
        </w:rPr>
        <w:t xml:space="preserve">checksum, frozen from commit </w:t>
      </w:r>
      <w:r>
        <w:rPr>
          <w:rFonts w:ascii="Courier New" w:hAnsi="Courier New"/>
          <w:sz w:val="20"/>
        </w:rPr>
        <w:t>de7868a83d3d1e30729323e53a735615d43fc231</w:t>
      </w:r>
      <w:r>
        <w:rPr>
          <w:rFonts w:ascii="Times New Roman" w:hAnsi="Times New Roman"/>
          <w:b w:val="0"/>
          <w:i w:val="0"/>
          <w:sz w:val="24"/>
        </w:rPr>
        <w:t>.</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color w:val="B42318"/>
        <w:sz w:val="18"/>
      </w:rPr>
      <w:t>DO NOT SUBMIT — HUMAN REVIEW AND AUTHOR METADATA PENDING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pPr>
      <w:keepNext/>
      <w:spacing w:before="120" w:after="60"/>
    </w:pPr>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