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i w:val="0"/>
          <w:sz w:val="30"/>
        </w:rPr>
        <w:t>Cover letter — BMC Bioinformatics</w:t>
      </w:r>
    </w:p>
    <w:p>
      <w:pPr>
        <w:spacing w:line="276" w:lineRule="auto"/>
      </w:pPr>
      <w:r>
        <w:rPr>
          <w:rFonts w:ascii="Times New Roman" w:hAnsi="Times New Roman"/>
          <w:b w:val="0"/>
          <w:i w:val="0"/>
          <w:sz w:val="24"/>
        </w:rPr>
        <w:t>[DATE REQUIRED]</w:t>
      </w:r>
    </w:p>
    <w:p>
      <w:pPr>
        <w:spacing w:line="276" w:lineRule="auto"/>
      </w:pPr>
      <w:r>
        <w:rPr>
          <w:rFonts w:ascii="Times New Roman" w:hAnsi="Times New Roman"/>
          <w:b w:val="0"/>
          <w:i w:val="0"/>
          <w:sz w:val="24"/>
        </w:rPr>
        <w:t>Dear Editors of BMC Bioinformatics,</w:t>
      </w:r>
    </w:p>
    <w:p>
      <w:pPr>
        <w:spacing w:line="276" w:lineRule="auto"/>
      </w:pPr>
      <w:r>
        <w:rPr>
          <w:rFonts w:ascii="Times New Roman" w:hAnsi="Times New Roman"/>
          <w:b w:val="0"/>
          <w:i w:val="0"/>
          <w:sz w:val="24"/>
        </w:rPr>
        <w:t>Please consider our manuscript, “ViralSafeTarget: evidence-aware, virus-first CRISPR target prioritization with an exhaustive HSV-2 case study,” as a Software Article.</w:t>
      </w:r>
    </w:p>
    <w:p>
      <w:pPr>
        <w:spacing w:line="276" w:lineRule="auto"/>
      </w:pPr>
      <w:r>
        <w:rPr>
          <w:rFonts w:ascii="Times New Roman" w:hAnsi="Times New Roman"/>
          <w:b w:val="0"/>
          <w:i w:val="0"/>
          <w:sz w:val="24"/>
        </w:rPr>
        <w:t>The software addresses a broad bioinformatics need: moving from viral genomes to an auditable research shortlist while keeping viral conservation, model-bounded host search, guide rank, gene targetability, predicted coding disruption, evidence provenance and exact-target multiplex robustness explicit. The manuscript includes an exhaustive HSV-2 case study, a direct frozen-panel comparison with Cas-OFFinder and CRISPRitz, sensitivity analysis, an installed-wheel portability test and a second-virus operational check.</w:t>
      </w:r>
    </w:p>
    <w:p>
      <w:pPr>
        <w:spacing w:line="276" w:lineRule="auto"/>
      </w:pPr>
      <w:r>
        <w:rPr>
          <w:rFonts w:ascii="Times New Roman" w:hAnsi="Times New Roman"/>
          <w:b w:val="0"/>
          <w:i w:val="0"/>
          <w:sz w:val="24"/>
        </w:rPr>
        <w:t>The work fits the journal’s scope in sequence analysis, comparative genomics and reproducible software. The public MIT-licensed repository and source archive permit anonymous reviewer testing. We do not claim experimental editing, safety, viral inhibition, delivery, treatment or cure.</w:t>
      </w:r>
    </w:p>
    <w:p>
      <w:pPr>
        <w:spacing w:line="276" w:lineRule="auto"/>
      </w:pPr>
      <w:r>
        <w:rPr>
          <w:rFonts w:ascii="Times New Roman" w:hAnsi="Times New Roman"/>
          <w:b w:val="0"/>
          <w:i w:val="0"/>
          <w:sz w:val="24"/>
        </w:rPr>
        <w:t>The author declares no competing interests. [AUTHOR CONFIRMATION REQUIRED] All authors have approved the manuscript and its submission. [AUTHOR CONFIRMATION REQUIRED] The manuscript has not been published or submitted elsewhere. [AUTHOR CONFIRMATION REQUIRED]</w:t>
      </w:r>
    </w:p>
    <w:p>
      <w:pPr>
        <w:spacing w:line="276" w:lineRule="auto"/>
      </w:pPr>
      <w:r>
        <w:rPr>
          <w:rFonts w:ascii="Times New Roman" w:hAnsi="Times New Roman"/>
          <w:b w:val="0"/>
          <w:i w:val="0"/>
          <w:sz w:val="24"/>
        </w:rPr>
        <w:t>Sincerely,</w:t>
        <w:br/>
        <w:t>Ron Nuriel</w:t>
        <w:br/>
        <w:t>[AFFILIATION REQUIRED]</w:t>
        <w:br/>
        <w:t>[EMAIL REQUIRED]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i w:val="0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/>
        <w:i w:val="0"/>
        <w:color w:val="B42318"/>
        <w:sz w:val="18"/>
      </w:rPr>
      <w:t>DO NOT SUBMIT — HUMAN REVIEW AND AUTHOR METADATA PENDING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itle">
    <w:name w:val="Table Title"/>
    <w:pPr>
      <w:keepNext/>
      <w:spacing w:before="120" w:after="60"/>
    </w:pPr>
    <w:rPr>
      <w:rFonts w:ascii="Times New Roman" w:hAnsi="Times New Roman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