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30"/>
        </w:rPr>
        <w:t>Title page and submission metadata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Title: ViralSafeTarget: evidence-aware, virus-first CRISPR target prioritization with an exhaustive HSV-2 case study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Article type: Software Article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Author: Ron Nuriel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Affiliation: [AFFILIATION REQUIRED]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Corresponding author email: [EMAIL REQUIRED]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ORCID: [ORCID OPTIONAL/REQUIRED IF AVAILABLE]</w:t>
      </w:r>
    </w:p>
    <w:p>
      <w:pPr>
        <w:spacing w:line="480" w:lineRule="auto"/>
      </w:pPr>
      <w:r>
        <w:rPr>
          <w:rFonts w:ascii="Times New Roman" w:hAnsi="Times New Roman"/>
          <w:b w:val="0"/>
          <w:i w:val="0"/>
          <w:sz w:val="24"/>
        </w:rPr>
        <w:t>Submission status: DO NOT SUBMIT — human evidence review, author metadata, DOI and declarations remain pending.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i w:val="0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/>
        <w:i w:val="0"/>
        <w:color w:val="B42318"/>
        <w:sz w:val="18"/>
      </w:rPr>
      <w:t>DO NOT SUBMIT — HUMAN REVIEW AND AUTHOR METADATA PENDING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itle">
    <w:name w:val="Table Title"/>
    <w:pPr>
      <w:keepNext/>
      <w:spacing w:before="120" w:after="60"/>
    </w:pPr>
    <w:rPr>
      <w:rFonts w:ascii="Times New Roman" w:hAnsi="Times New Roman"/>
      <w:b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