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Default="005A1F95"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r w:rsidR="00D776F6">
        <w:rPr>
          <w:rFonts w:hint="eastAsia"/>
          <w:sz w:val="24"/>
          <w:szCs w:val="24"/>
        </w:rPr>
        <w:t>在这种情况下，产品库存是专门设在配送中心的，并且所有货物都是从分配中心派送到每一个客户。此外，没有转运点和一个单级分销网络仍然被使用。制造商存储通常是为高价值产品计划的，这些高价值产品非常难以预测，而快速移动的存货项目存储在分配中心以便获得更好的响应。另一个类型的分配系统包含工厂和仓库就像有产品库存的供应点在两种类型的设施和货物直接从制造商运送给客户或者通过仓库运送给客户，即是一个二级分销网络。如果仓库中再收的股票是积极的，但是比需求低一些，它是用来部分满足需求，而且其余部分通过从其他来源运送产品或者从制造商存储中转直航。复杂式</w:t>
      </w:r>
      <w:r w:rsidR="00D776F6">
        <w:rPr>
          <w:rFonts w:hint="eastAsia"/>
          <w:sz w:val="24"/>
          <w:szCs w:val="24"/>
        </w:rPr>
        <w:t>N</w:t>
      </w:r>
      <w:r w:rsidR="00D776F6">
        <w:rPr>
          <w:rFonts w:hint="eastAsia"/>
          <w:sz w:val="24"/>
          <w:szCs w:val="24"/>
        </w:rPr>
        <w:t>级分销系统可包含的中间仓库比单级的多。另一个方面，交叉对接策略意味着在制造商存储的货物从工厂到分配中心中产品库存得到巩固，在分配中心中，接收负载要在</w:t>
      </w:r>
      <w:r w:rsidR="00D776F6">
        <w:rPr>
          <w:rFonts w:hint="eastAsia"/>
          <w:sz w:val="24"/>
          <w:szCs w:val="24"/>
        </w:rPr>
        <w:t>24-48</w:t>
      </w:r>
      <w:r w:rsidR="00D776F6">
        <w:rPr>
          <w:rFonts w:hint="eastAsia"/>
          <w:sz w:val="24"/>
          <w:szCs w:val="24"/>
        </w:rPr>
        <w:t>小时内从接收移动到货运码头，之后再调度它们到消费区。这也是一个二级分布式网络。交叉对接保留了在生产现场集中库存和跨码头设施出货的整合的优点，也就是说制造业与过境存储合并。在任何情况下，选择的网络设计应该根据分配的项目类型和客户的需求服务。一个量身定制的分配政策需要将混合型网络与基于仓库和交叉对接的制造商存储结合起来。在同一个工业部门的公司往往会选择不同的网络设计，主要是因为它们的经营策略是针对不同性能指标如响应时间、产品的可用性或者是客户的满意度。</w:t>
      </w:r>
    </w:p>
    <w:p w:rsidR="00D776F6" w:rsidRPr="00904032" w:rsidRDefault="00D776F6" w:rsidP="00904032">
      <w:pPr>
        <w:autoSpaceDE w:val="0"/>
        <w:autoSpaceDN w:val="0"/>
        <w:adjustRightInd w:val="0"/>
        <w:spacing w:line="400" w:lineRule="exact"/>
        <w:ind w:firstLineChars="200" w:firstLine="480"/>
        <w:jc w:val="left"/>
        <w:rPr>
          <w:rFonts w:hint="eastAsia"/>
          <w:sz w:val="24"/>
          <w:szCs w:val="24"/>
        </w:rPr>
      </w:pPr>
    </w:p>
    <w:sectPr w:rsidR="00D776F6" w:rsidRPr="00904032"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874" w:rsidRDefault="00500874" w:rsidP="006D3E2A">
      <w:r>
        <w:separator/>
      </w:r>
    </w:p>
  </w:endnote>
  <w:endnote w:type="continuationSeparator" w:id="1">
    <w:p w:rsidR="00500874" w:rsidRDefault="00500874"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874" w:rsidRDefault="00500874" w:rsidP="006D3E2A">
      <w:r>
        <w:separator/>
      </w:r>
    </w:p>
  </w:footnote>
  <w:footnote w:type="continuationSeparator" w:id="1">
    <w:p w:rsidR="00500874" w:rsidRDefault="00500874"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3F0ADA"/>
    <w:rsid w:val="00491FC5"/>
    <w:rsid w:val="0049525E"/>
    <w:rsid w:val="004E6635"/>
    <w:rsid w:val="00500874"/>
    <w:rsid w:val="005676C8"/>
    <w:rsid w:val="005A1F95"/>
    <w:rsid w:val="005D1A3A"/>
    <w:rsid w:val="006D3E2A"/>
    <w:rsid w:val="00904032"/>
    <w:rsid w:val="009C748D"/>
    <w:rsid w:val="00AC7510"/>
    <w:rsid w:val="00B151ED"/>
    <w:rsid w:val="00B156E5"/>
    <w:rsid w:val="00C82FDC"/>
    <w:rsid w:val="00D776F6"/>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9</cp:revision>
  <dcterms:created xsi:type="dcterms:W3CDTF">2011-05-10T11:31:00Z</dcterms:created>
  <dcterms:modified xsi:type="dcterms:W3CDTF">2011-05-12T10:20:00Z</dcterms:modified>
</cp:coreProperties>
</file>