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33.png" ContentType="image/png"/>
  <Override PartName="/word/media/rId60.png" ContentType="image/png"/>
  <Override PartName="/word/media/rId48.png" ContentType="image/png"/>
  <Override PartName="/word/media/rId37.png" ContentType="image/png"/>
  <Override PartName="/word/media/rId41.png" ContentType="image/png"/>
  <Override PartName="/word/media/rId25.png" ContentType="image/png"/>
  <Override PartName="/word/media/rId29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kv-incoming-feeder-daily-analysis-report"/>
    <w:p>
      <w:pPr>
        <w:pStyle w:val="Heading1"/>
      </w:pPr>
      <w:r>
        <w:t xml:space="preserve">33kV Incoming Feeder Daily Analysis Report</w:t>
      </w:r>
    </w:p>
    <w:bookmarkStart w:id="21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This report summarizes the analysis built in</w:t>
      </w:r>
      <w:r>
        <w:t xml:space="preserve"> </w:t>
      </w:r>
      <w:hyperlink r:id="rId20">
        <w:r>
          <w:rPr>
            <w:rStyle w:val="Hyperlink"/>
          </w:rPr>
          <w:t xml:space="preserve">33kv_incoming_feeder_daily_long_transform.ipynb</w:t>
        </w:r>
      </w:hyperlink>
      <w:r>
        <w:t xml:space="preserve">.</w:t>
      </w:r>
    </w:p>
    <w:p>
      <w:pPr>
        <w:pStyle w:val="BodyText"/>
      </w:pPr>
      <w:r>
        <w:t xml:space="preserve">Primary analysis window: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2025-04-01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2026-03-31</w:t>
      </w:r>
    </w:p>
    <w:p>
      <w:pPr>
        <w:pStyle w:val="FirstParagraph"/>
      </w:pPr>
      <w:r>
        <w:t xml:space="preserve">Primary datasets used:</w:t>
      </w:r>
    </w:p>
    <w:p>
      <w:pPr>
        <w:numPr>
          <w:ilvl w:val="0"/>
          <w:numId w:val="1002"/>
        </w:numPr>
        <w:pStyle w:val="Compact"/>
      </w:pPr>
      <w:r>
        <w:t xml:space="preserve">feeder daily energy data reshaped from</w:t>
      </w:r>
      <w:r>
        <w:t xml:space="preserve"> </w:t>
      </w:r>
      <w:r>
        <w:rPr>
          <w:rStyle w:val="VerbatimChar"/>
        </w:rPr>
        <w:t xml:space="preserve">20260407_33kVIncomingFeederDailyDataWide.xlsx</w:t>
      </w:r>
    </w:p>
    <w:p>
      <w:pPr>
        <w:numPr>
          <w:ilvl w:val="0"/>
          <w:numId w:val="1002"/>
        </w:numPr>
        <w:pStyle w:val="Compact"/>
      </w:pPr>
      <w:r>
        <w:t xml:space="preserve">recharge data summarized from</w:t>
      </w:r>
      <w:r>
        <w:t xml:space="preserve"> </w:t>
      </w:r>
      <w:r>
        <w:rPr>
          <w:rStyle w:val="VerbatimChar"/>
        </w:rPr>
        <w:t xml:space="preserve">20260407_RechargeToDate.csv</w:t>
      </w:r>
    </w:p>
    <w:p>
      <w:pPr>
        <w:pStyle w:val="FirstParagraph"/>
      </w:pPr>
      <w:r>
        <w:t xml:space="preserve">Primary processed outputs: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data/processed/33kv_incoming_feeder_daily_long.parquet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data/processed/vend_amounts_daily.parquet</w:t>
      </w:r>
    </w:p>
    <w:p>
      <w:pPr>
        <w:pStyle w:val="FirstParagraph"/>
      </w:pPr>
      <w:r>
        <w:t xml:space="preserve">Important note:</w:t>
      </w:r>
    </w:p>
    <w:p>
      <w:pPr>
        <w:numPr>
          <w:ilvl w:val="0"/>
          <w:numId w:val="1004"/>
        </w:numPr>
        <w:pStyle w:val="Compact"/>
      </w:pPr>
      <w:r>
        <w:t xml:space="preserve">the combined daily summary file includes earlier recharge dates outside the feeder period because the energy and recharge series were outer-joined</w:t>
      </w:r>
    </w:p>
    <w:p>
      <w:pPr>
        <w:numPr>
          <w:ilvl w:val="0"/>
          <w:numId w:val="1004"/>
        </w:numPr>
        <w:pStyle w:val="Compact"/>
      </w:pPr>
      <w:r>
        <w:t xml:space="preserve">the notebook analysis itself correctly filters to</w:t>
      </w:r>
      <w:r>
        <w:t xml:space="preserve"> </w:t>
      </w:r>
      <w:r>
        <w:rPr>
          <w:rStyle w:val="VerbatimChar"/>
        </w:rPr>
        <w:t xml:space="preserve">2025-04-01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2026-03-31</w:t>
      </w:r>
      <w:r>
        <w:t xml:space="preserve"> </w:t>
      </w:r>
      <w:r>
        <w:t xml:space="preserve">for the weekday and special-day sections</w:t>
      </w:r>
    </w:p>
    <w:bookmarkEnd w:id="21"/>
    <w:bookmarkStart w:id="22" w:name="headline-findings"/>
    <w:p>
      <w:pPr>
        <w:pStyle w:val="Heading2"/>
      </w:pPr>
      <w:r>
        <w:t xml:space="preserve">Headline Findings</w:t>
      </w:r>
    </w:p>
    <w:p>
      <w:pPr>
        <w:numPr>
          <w:ilvl w:val="0"/>
          <w:numId w:val="1005"/>
        </w:numPr>
        <w:pStyle w:val="Compact"/>
      </w:pPr>
      <w:r>
        <w:t xml:space="preserve">Average daily feeder energy is very stable across weekdays, staying in a narrow band of roughly</w:t>
      </w:r>
      <w:r>
        <w:t xml:space="preserve"> </w:t>
      </w:r>
      <w:r>
        <w:rPr>
          <w:rStyle w:val="VerbatimChar"/>
        </w:rPr>
        <w:t xml:space="preserve">11.59M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11.78M kWh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Average daily vend amount is much more uneven than energy, with a strong Monday effect and a clear weekend drop.</w:t>
      </w:r>
    </w:p>
    <w:p>
      <w:pPr>
        <w:numPr>
          <w:ilvl w:val="0"/>
          <w:numId w:val="1005"/>
        </w:numPr>
        <w:pStyle w:val="Compact"/>
      </w:pPr>
      <w:r>
        <w:t xml:space="preserve">Average</w:t>
      </w:r>
      <w:r>
        <w:t xml:space="preserve"> </w:t>
      </w:r>
      <w:r>
        <w:rPr>
          <w:rStyle w:val="VerbatimChar"/>
        </w:rPr>
        <w:t xml:space="preserve">Rs/kWh</w:t>
      </w:r>
      <w:r>
        <w:t xml:space="preserve"> </w:t>
      </w:r>
      <w:r>
        <w:t xml:space="preserve">is highest on Monday at about</w:t>
      </w:r>
      <w:r>
        <w:t xml:space="preserve"> </w:t>
      </w:r>
      <w:r>
        <w:rPr>
          <w:rStyle w:val="VerbatimChar"/>
        </w:rPr>
        <w:t xml:space="preserve">2.66</w:t>
      </w:r>
      <w:r>
        <w:t xml:space="preserve"> </w:t>
      </w:r>
      <w:r>
        <w:t xml:space="preserve">and falls steadily toward the weekend, reaching about</w:t>
      </w:r>
      <w:r>
        <w:t xml:space="preserve"> </w:t>
      </w:r>
      <w:r>
        <w:rPr>
          <w:rStyle w:val="VerbatimChar"/>
        </w:rPr>
        <w:t xml:space="preserve">0.71</w:t>
      </w:r>
      <w:r>
        <w:t xml:space="preserve"> </w:t>
      </w:r>
      <w:r>
        <w:t xml:space="preserve">on Sunday.</w:t>
      </w:r>
    </w:p>
    <w:p>
      <w:pPr>
        <w:numPr>
          <w:ilvl w:val="0"/>
          <w:numId w:val="1005"/>
        </w:numPr>
        <w:pStyle w:val="Compact"/>
      </w:pPr>
      <w:r>
        <w:t xml:space="preserve">Variability is materially lower for energy than for the money-based measures. Overall CV is about</w:t>
      </w:r>
      <w:r>
        <w:t xml:space="preserve"> </w:t>
      </w:r>
      <w:r>
        <w:rPr>
          <w:rStyle w:val="VerbatimChar"/>
        </w:rPr>
        <w:t xml:space="preserve">0.22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kWh</w:t>
      </w:r>
      <w:r>
        <w:t xml:space="preserve">, versus about</w:t>
      </w:r>
      <w:r>
        <w:t xml:space="preserve"> </w:t>
      </w:r>
      <w:r>
        <w:rPr>
          <w:rStyle w:val="VerbatimChar"/>
        </w:rPr>
        <w:t xml:space="preserve">0.63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0.62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Rs/kWh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In the special-day comparison,</w:t>
      </w:r>
      <w:r>
        <w:t xml:space="preserve"> </w:t>
      </w:r>
      <w:r>
        <w:rPr>
          <w:rStyle w:val="VerbatimChar"/>
        </w:rPr>
        <w:t xml:space="preserve">Mon Excluding Weekday After Public Holiday</w:t>
      </w:r>
      <w:r>
        <w:t xml:space="preserve"> </w:t>
      </w:r>
      <w:r>
        <w:t xml:space="preserve">has the highest average vend amount and the highest average</w:t>
      </w:r>
      <w:r>
        <w:t xml:space="preserve"> </w:t>
      </w:r>
      <w:r>
        <w:rPr>
          <w:rStyle w:val="VerbatimChar"/>
        </w:rPr>
        <w:t xml:space="preserve">Rs/kWh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Weekends</w:t>
      </w:r>
      <w:r>
        <w:t xml:space="preserve"> </w:t>
      </w:r>
      <w:r>
        <w:t xml:space="preserve">have the lowest average vend amount and among the lowest average</w:t>
      </w:r>
      <w:r>
        <w:t xml:space="preserve"> </w:t>
      </w:r>
      <w:r>
        <w:rPr>
          <w:rStyle w:val="VerbatimChar"/>
        </w:rPr>
        <w:t xml:space="preserve">Rs/kWh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Weekday After Public Holiday</w:t>
      </w:r>
      <w:r>
        <w:t xml:space="preserve"> </w:t>
      </w:r>
      <w:r>
        <w:t xml:space="preserve">has the highest CV for</w:t>
      </w:r>
      <w:r>
        <w:t xml:space="preserve"> </w:t>
      </w:r>
      <w:r>
        <w:rPr>
          <w:rStyle w:val="VerbatimChar"/>
        </w:rPr>
        <w:t xml:space="preserve">Rs/kWh</w:t>
      </w:r>
      <w:r>
        <w:t xml:space="preserve">, suggesting post-holiday recharge intensity is less predictable than normal weekday behavior.</w:t>
      </w:r>
    </w:p>
    <w:bookmarkEnd w:id="22"/>
    <w:bookmarkStart w:id="23" w:name="weekday-summary"/>
    <w:p>
      <w:pPr>
        <w:pStyle w:val="Heading2"/>
      </w:pPr>
      <w:r>
        <w:t xml:space="preserve">Weekday Summary</w:t>
      </w:r>
    </w:p>
    <w:p>
      <w:pPr>
        <w:pStyle w:val="FirstParagraph"/>
      </w:pPr>
      <w:r>
        <w:t xml:space="preserve">Overall weekday-level averages and variability from the saved summary workbook: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609"/>
        <w:gridCol w:w="812"/>
        <w:gridCol w:w="812"/>
        <w:gridCol w:w="812"/>
        <w:gridCol w:w="812"/>
        <w:gridCol w:w="812"/>
        <w:gridCol w:w="812"/>
        <w:gridCol w:w="812"/>
        <w:gridCol w:w="812"/>
        <w:gridCol w:w="8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 kWh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StdDev kWh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 vend_amount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StdDev vend_amount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 Rs/kWh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StdDev Rs/kWh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kWh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Rs/kWh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11,681,703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2,540,128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30,780,013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15,665,479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Tuesday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11,781,846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2,573,307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23,514,814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12,490,391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Wednesday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11,645,852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2,453,609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19,897,364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8,525,622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Thursday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11,590,076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2,613,811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18,539,450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7,982,094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Friday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11,781,144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2,610,837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19,517,346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8,327,925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Saturday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11,698,460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2,743,752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10,617,199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5,005,672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Sunday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11,608,262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2,444,689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8,299,721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3,821,874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11,684,174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2,550,095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18,751,074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11,847,590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</w:t>
            </w:r>
          </w:p>
        </w:tc>
      </w:tr>
    </w:tbl>
    <w:p>
      <w:pPr>
        <w:pStyle w:val="BodyText"/>
      </w:pPr>
      <w:r>
        <w:t xml:space="preserve">Interpretation:</w:t>
      </w:r>
    </w:p>
    <w:p>
      <w:pPr>
        <w:numPr>
          <w:ilvl w:val="0"/>
          <w:numId w:val="1006"/>
        </w:numPr>
        <w:pStyle w:val="Compact"/>
      </w:pPr>
      <w:r>
        <w:t xml:space="preserve">Energy is operationally steady across the week.</w:t>
      </w:r>
    </w:p>
    <w:p>
      <w:pPr>
        <w:numPr>
          <w:ilvl w:val="0"/>
          <w:numId w:val="1006"/>
        </w:numPr>
        <w:pStyle w:val="Compact"/>
      </w:pPr>
      <w:r>
        <w:t xml:space="preserve">Recharge value is behaviorally front-loaded, with Monday materially above all other days.</w:t>
      </w:r>
    </w:p>
    <w:p>
      <w:pPr>
        <w:numPr>
          <w:ilvl w:val="0"/>
          <w:numId w:val="1006"/>
        </w:numPr>
        <w:pStyle w:val="Compact"/>
      </w:pPr>
      <w:r>
        <w:t xml:space="preserve">Weekend recharge softness is large enough that it pulls down both</w:t>
      </w:r>
      <w:r>
        <w:t xml:space="preserve"> </w:t>
      </w:r>
      <w:r>
        <w:rPr>
          <w:rStyle w:val="VerbatimChar"/>
        </w:rPr>
        <w:t xml:space="preserve">vend_amount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Rs/kWh</w:t>
      </w:r>
      <w:r>
        <w:t xml:space="preserve">, even though energy stays broadly flat.</w:t>
      </w:r>
    </w:p>
    <w:bookmarkEnd w:id="23"/>
    <w:bookmarkStart w:id="24" w:name="special-day-summary"/>
    <w:p>
      <w:pPr>
        <w:pStyle w:val="Heading2"/>
      </w:pPr>
      <w:r>
        <w:t xml:space="preserve">Special-Day Summary</w:t>
      </w:r>
    </w:p>
    <w:p>
      <w:pPr>
        <w:pStyle w:val="FirstParagraph"/>
      </w:pPr>
      <w:r>
        <w:t xml:space="preserve">Special-day group summary from the revised grouping, where the post-holiday bucket is restricted to weekdays only: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552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Days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 kWh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StdDev kWh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 vend_amount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StdDev vend_amount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 Rs/kWh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StdDev Rs/kWh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kWh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Rs/kWh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11,684,174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2,550,095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18,751,074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11,847,590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Weekends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11,653,361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2,586,279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9,458,460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4,582,020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Weekday After Public Holiday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10,719,746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1,716,537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24,046,202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14,342,328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Excluding Weekday After Public Holiday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11,725,874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2,529,814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31,324,385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15,980,766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Tue-Thu Excluding Weekday After Public Holiday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11,738,406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2,562,232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20,659,214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9,687,979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 Excluding Weekday After Public Holiday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11,818,262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2,686,068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18,803,322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7,584,098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</w:t>
            </w:r>
          </w:p>
        </w:tc>
      </w:tr>
    </w:tbl>
    <w:p>
      <w:pPr>
        <w:pStyle w:val="BodyText"/>
      </w:pPr>
      <w:r>
        <w:t xml:space="preserve">Interpretation: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Mon Excluding Weekday After Public Holiday</w:t>
      </w:r>
      <w:r>
        <w:t xml:space="preserve"> </w:t>
      </w:r>
      <w:r>
        <w:t xml:space="preserve">is the strongest recharge bucket in both absolute</w:t>
      </w:r>
      <w:r>
        <w:t xml:space="preserve"> </w:t>
      </w:r>
      <w:r>
        <w:rPr>
          <w:rStyle w:val="VerbatimChar"/>
        </w:rPr>
        <w:t xml:space="preserve">vend_amount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Rs/kWh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Weekends</w:t>
      </w:r>
      <w:r>
        <w:t xml:space="preserve"> </w:t>
      </w:r>
      <w:r>
        <w:t xml:space="preserve">remain the weakest recharge bucket while energy usage stays close to the overall level.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Weekday After Public Holiday</w:t>
      </w:r>
      <w:r>
        <w:t xml:space="preserve"> </w:t>
      </w:r>
      <w:r>
        <w:t xml:space="preserve">is not the highest average recharge bucket, but it remains the most unstable in price-per-energy terms, with the highest</w:t>
      </w:r>
      <w:r>
        <w:t xml:space="preserve"> </w:t>
      </w:r>
      <w:r>
        <w:rPr>
          <w:rStyle w:val="VerbatimChar"/>
        </w:rPr>
        <w:t xml:space="preserve">CV of Rs/kWh</w:t>
      </w:r>
      <w:r>
        <w:t xml:space="preserve"> </w:t>
      </w:r>
      <w:r>
        <w:t xml:space="preserve">among the comparison groups.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Fri Excluding Weekday After Public Holiday</w:t>
      </w:r>
      <w:r>
        <w:t xml:space="preserve"> </w:t>
      </w:r>
      <w:r>
        <w:t xml:space="preserve">has the lowest financial CVs among the special weekday groups, which may make it the cleanest baseline comparison bucket.</w:t>
      </w:r>
    </w:p>
    <w:bookmarkEnd w:id="24"/>
    <w:bookmarkStart w:id="45" w:name="charts"/>
    <w:p>
      <w:pPr>
        <w:pStyle w:val="Heading2"/>
      </w:pPr>
      <w:r>
        <w:t xml:space="preserve">Charts</w:t>
      </w:r>
    </w:p>
    <w:bookmarkStart w:id="28" w:name="weekday-profile"/>
    <w:p>
      <w:pPr>
        <w:pStyle w:val="Heading3"/>
      </w:pPr>
      <w:r>
        <w:t xml:space="preserve">Weekday Profile</w:t>
      </w:r>
    </w:p>
    <w:p>
      <w:pPr>
        <w:pStyle w:val="FirstParagraph"/>
      </w:pPr>
      <w:r>
        <w:t xml:space="preserve">This chart is the clearest summary of average weekday behavior and dispersion:</w:t>
      </w:r>
    </w:p>
    <w:p>
      <w:pPr>
        <w:pStyle w:val="CaptionedFigure"/>
      </w:pPr>
      <w:r>
        <w:drawing>
          <wp:inline>
            <wp:extent cx="5334000" cy="5753435"/>
            <wp:effectExtent b="0" l="0" r="0" t="0"/>
            <wp:docPr descr="Weekday profile" title="" id="26" name="Picture"/>
            <a:graphic>
              <a:graphicData uri="http://schemas.openxmlformats.org/drawingml/2006/picture">
                <pic:pic>
                  <pic:nvPicPr>
                    <pic:cNvPr descr="../data/33kv_incoming_feeder_weekday_boxplot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53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Weekday profile</w:t>
      </w:r>
    </w:p>
    <w:bookmarkEnd w:id="28"/>
    <w:bookmarkStart w:id="32" w:name="weekday-cv-comparison"/>
    <w:p>
      <w:pPr>
        <w:pStyle w:val="Heading3"/>
      </w:pPr>
      <w:r>
        <w:t xml:space="preserve">Weekday CV Comparison</w:t>
      </w:r>
    </w:p>
    <w:p>
      <w:pPr>
        <w:pStyle w:val="FirstParagraph"/>
      </w:pPr>
      <w:r>
        <w:t xml:space="preserve">This chart makes the difference in relative volatility easy to see:</w:t>
      </w:r>
    </w:p>
    <w:p>
      <w:pPr>
        <w:pStyle w:val="CaptionedFigure"/>
      </w:pPr>
      <w:r>
        <w:drawing>
          <wp:inline>
            <wp:extent cx="5334000" cy="2198816"/>
            <wp:effectExtent b="0" l="0" r="0" t="0"/>
            <wp:docPr descr="Weekday CV comparison" title="" id="30" name="Picture"/>
            <a:graphic>
              <a:graphicData uri="http://schemas.openxmlformats.org/drawingml/2006/picture">
                <pic:pic>
                  <pic:nvPicPr>
                    <pic:cNvPr descr="../data/33kv_incoming_feeder_weekday_cv_comparis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8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Weekday CV comparison</w:t>
      </w:r>
    </w:p>
    <w:bookmarkEnd w:id="32"/>
    <w:bookmarkStart w:id="36" w:name="daily-trend"/>
    <w:p>
      <w:pPr>
        <w:pStyle w:val="Heading3"/>
      </w:pPr>
      <w:r>
        <w:t xml:space="preserve">Daily Trend</w:t>
      </w:r>
    </w:p>
    <w:p>
      <w:pPr>
        <w:pStyle w:val="FirstParagraph"/>
      </w:pPr>
      <w:r>
        <w:t xml:space="preserve">This is the best overall view for seasonality and co-movement:</w:t>
      </w:r>
    </w:p>
    <w:p>
      <w:pPr>
        <w:pStyle w:val="CaptionedFigure"/>
      </w:pPr>
      <w:r>
        <w:drawing>
          <wp:inline>
            <wp:extent cx="5334000" cy="2263685"/>
            <wp:effectExtent b="0" l="0" r="0" t="0"/>
            <wp:docPr descr="Daily kWh and vend trend" title="" id="34" name="Picture"/>
            <a:graphic>
              <a:graphicData uri="http://schemas.openxmlformats.org/drawingml/2006/picture">
                <pic:pic>
                  <pic:nvPicPr>
                    <pic:cNvPr descr="../data/33kv_incoming_feeder_kwh_vend_tren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3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Daily kWh and vend trend</w:t>
      </w:r>
    </w:p>
    <w:bookmarkEnd w:id="36"/>
    <w:bookmarkStart w:id="40" w:name="special-day-boxplots"/>
    <w:p>
      <w:pPr>
        <w:pStyle w:val="Heading3"/>
      </w:pPr>
      <w:r>
        <w:t xml:space="preserve">Special-Day Boxplots</w:t>
      </w:r>
    </w:p>
    <w:p>
      <w:pPr>
        <w:pStyle w:val="FirstParagraph"/>
      </w:pPr>
      <w:r>
        <w:t xml:space="preserve">These keep the full distributional information for the grouped comparisons:</w:t>
      </w:r>
    </w:p>
    <w:p>
      <w:pPr>
        <w:pStyle w:val="CaptionedFigure"/>
      </w:pPr>
      <w:r>
        <w:drawing>
          <wp:inline>
            <wp:extent cx="5334000" cy="5370056"/>
            <wp:effectExtent b="0" l="0" r="0" t="0"/>
            <wp:docPr descr="Special-day boxplots" title="" id="38" name="Picture"/>
            <a:graphic>
              <a:graphicData uri="http://schemas.openxmlformats.org/drawingml/2006/picture">
                <pic:pic>
                  <pic:nvPicPr>
                    <pic:cNvPr descr="../data/33kv_incoming_feeder_special_day_boxplot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0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Special-day boxplots</w:t>
      </w:r>
    </w:p>
    <w:bookmarkEnd w:id="40"/>
    <w:bookmarkStart w:id="44" w:name="special-day-cv-comparison"/>
    <w:p>
      <w:pPr>
        <w:pStyle w:val="Heading3"/>
      </w:pPr>
      <w:r>
        <w:t xml:space="preserve">Special-Day CV Comparison</w:t>
      </w:r>
    </w:p>
    <w:p>
      <w:pPr>
        <w:pStyle w:val="FirstParagraph"/>
      </w:pPr>
      <w:r>
        <w:t xml:space="preserve">This is the quickest view for comparing predictability across the special-day buckets:</w:t>
      </w:r>
    </w:p>
    <w:p>
      <w:pPr>
        <w:pStyle w:val="CaptionedFigure"/>
      </w:pPr>
      <w:r>
        <w:drawing>
          <wp:inline>
            <wp:extent cx="5334000" cy="1879575"/>
            <wp:effectExtent b="0" l="0" r="0" t="0"/>
            <wp:docPr descr="Special-day CV comparison" title="" id="42" name="Picture"/>
            <a:graphic>
              <a:graphicData uri="http://schemas.openxmlformats.org/drawingml/2006/picture">
                <pic:pic>
                  <pic:nvPicPr>
                    <pic:cNvPr descr="../data/33kv_incoming_feeder_special_day_cv_compariso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9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Special-day CV comparison</w:t>
      </w:r>
    </w:p>
    <w:bookmarkEnd w:id="44"/>
    <w:bookmarkEnd w:id="45"/>
    <w:bookmarkStart w:id="46" w:name="practical-conclusions"/>
    <w:p>
      <w:pPr>
        <w:pStyle w:val="Heading2"/>
      </w:pPr>
      <w:r>
        <w:t xml:space="preserve">Practical Conclusions</w:t>
      </w:r>
    </w:p>
    <w:p>
      <w:pPr>
        <w:numPr>
          <w:ilvl w:val="0"/>
          <w:numId w:val="1008"/>
        </w:numPr>
        <w:pStyle w:val="Compact"/>
      </w:pPr>
      <w:r>
        <w:t xml:space="preserve">The feeder energy series is operationally steady; the stronger movement is in recharge behavior rather than underlying energy volume.</w:t>
      </w:r>
    </w:p>
    <w:p>
      <w:pPr>
        <w:numPr>
          <w:ilvl w:val="0"/>
          <w:numId w:val="1008"/>
        </w:numPr>
        <w:pStyle w:val="Compact"/>
      </w:pPr>
      <w:r>
        <w:t xml:space="preserve">Monday is the most commercially intense day in the week, while weekends are materially softer.</w:t>
      </w:r>
    </w:p>
    <w:p>
      <w:pPr>
        <w:numPr>
          <w:ilvl w:val="0"/>
          <w:numId w:val="1008"/>
        </w:numPr>
        <w:pStyle w:val="Compact"/>
      </w:pPr>
      <w:r>
        <w:t xml:space="preserve">Relative volatility is consistently higher for</w:t>
      </w:r>
      <w:r>
        <w:t xml:space="preserve"> </w:t>
      </w:r>
      <w:r>
        <w:rPr>
          <w:rStyle w:val="VerbatimChar"/>
        </w:rPr>
        <w:t xml:space="preserve">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Rs/kWh</w:t>
      </w:r>
      <w:r>
        <w:t xml:space="preserve"> </w:t>
      </w:r>
      <w:r>
        <w:t xml:space="preserve">than for</w:t>
      </w:r>
      <w:r>
        <w:t xml:space="preserve"> </w:t>
      </w:r>
      <w:r>
        <w:rPr>
          <w:rStyle w:val="VerbatimChar"/>
        </w:rPr>
        <w:t xml:space="preserve">kWh</w:t>
      </w:r>
      <w:r>
        <w:t xml:space="preserve">, so commercial behavior is noisier than physical load.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Weekday After Public Holiday</w:t>
      </w:r>
      <w:r>
        <w:t xml:space="preserve"> </w:t>
      </w:r>
      <w:r>
        <w:t xml:space="preserve">should be treated as a distinct operating condition because its</w:t>
      </w:r>
      <w:r>
        <w:t xml:space="preserve"> </w:t>
      </w:r>
      <w:r>
        <w:rPr>
          <w:rStyle w:val="VerbatimChar"/>
        </w:rPr>
        <w:t xml:space="preserve">Rs/kWh</w:t>
      </w:r>
      <w:r>
        <w:t xml:space="preserve"> </w:t>
      </w:r>
      <w:r>
        <w:t xml:space="preserve">behavior is less stable than ordinary weekdays.</w:t>
      </w:r>
    </w:p>
    <w:p>
      <w:pPr>
        <w:numPr>
          <w:ilvl w:val="0"/>
          <w:numId w:val="1008"/>
        </w:numPr>
        <w:pStyle w:val="Compact"/>
      </w:pPr>
      <w:r>
        <w:t xml:space="preserve">For baseline weekday comparisons,</w:t>
      </w:r>
      <w:r>
        <w:t xml:space="preserve"> </w:t>
      </w:r>
      <w:r>
        <w:rPr>
          <w:rStyle w:val="VerbatimChar"/>
        </w:rPr>
        <w:t xml:space="preserve">Fri Excluding Weekday After Public Holiday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Tue-Thu Excluding Weekday After Public Holiday</w:t>
      </w:r>
      <w:r>
        <w:t xml:space="preserve"> </w:t>
      </w:r>
      <w:r>
        <w:t xml:space="preserve">look cleaner than using all weekdays together.</w:t>
      </w:r>
    </w:p>
    <w:bookmarkEnd w:id="46"/>
    <w:bookmarkStart w:id="47" w:name="caveats"/>
    <w:p>
      <w:pPr>
        <w:pStyle w:val="Heading2"/>
      </w:pPr>
      <w:r>
        <w:t xml:space="preserve">Caveats</w:t>
      </w:r>
    </w:p>
    <w:p>
      <w:pPr>
        <w:numPr>
          <w:ilvl w:val="0"/>
          <w:numId w:val="1009"/>
        </w:numPr>
        <w:pStyle w:val="Compact"/>
      </w:pPr>
      <w:r>
        <w:t xml:space="preserve">Bihar holiday dates in the notebook are suitable for analysis grouping, but some festival observances can shift slightly in practice.</w:t>
      </w:r>
    </w:p>
    <w:p>
      <w:pPr>
        <w:numPr>
          <w:ilvl w:val="0"/>
          <w:numId w:val="1009"/>
        </w:numPr>
        <w:pStyle w:val="Compact"/>
      </w:pPr>
      <w:r>
        <w:t xml:space="preserve">Recharge history extends earlier than the feeder energy history, so any cross-series comparison should stay inside the notebook’s filtered analysis window.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Rs/kWh</w:t>
      </w:r>
      <w:r>
        <w:t xml:space="preserve"> </w:t>
      </w:r>
      <w:r>
        <w:t xml:space="preserve">here is an observed daily ratio of summarized vend amount to summarized feeder energy; it is useful analytically, but it should not be treated as a tariff.</w:t>
      </w:r>
    </w:p>
    <w:bookmarkEnd w:id="47"/>
    <w:bookmarkStart w:id="64" w:name="appendix-alternative-visuals"/>
    <w:p>
      <w:pPr>
        <w:pStyle w:val="Heading2"/>
      </w:pPr>
      <w:r>
        <w:t xml:space="preserve">Appendix: Alternative Visuals</w:t>
      </w:r>
    </w:p>
    <w:p>
      <w:pPr>
        <w:pStyle w:val="FirstParagraph"/>
      </w:pPr>
      <w:r>
        <w:t xml:space="preserve">These figures are useful supporting views for deeper review.</w:t>
      </w:r>
    </w:p>
    <w:bookmarkStart w:id="51" w:name="monthly-profile"/>
    <w:p>
      <w:pPr>
        <w:pStyle w:val="Heading3"/>
      </w:pPr>
      <w:r>
        <w:t xml:space="preserve">Monthly Profile</w:t>
      </w:r>
    </w:p>
    <w:p>
      <w:pPr>
        <w:pStyle w:val="CaptionedFigure"/>
      </w:pPr>
      <w:r>
        <w:drawing>
          <wp:inline>
            <wp:extent cx="5334000" cy="4922843"/>
            <wp:effectExtent b="0" l="0" r="0" t="0"/>
            <wp:docPr descr="Monthly profile" title="" id="49" name="Picture"/>
            <a:graphic>
              <a:graphicData uri="http://schemas.openxmlformats.org/drawingml/2006/picture">
                <pic:pic>
                  <pic:nvPicPr>
                    <pic:cNvPr descr="../data/33kv_incoming_feeder_monthly_profil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2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Monthly profile</w:t>
      </w:r>
    </w:p>
    <w:bookmarkEnd w:id="51"/>
    <w:bookmarkStart w:id="55" w:name="indexed-trend"/>
    <w:p>
      <w:pPr>
        <w:pStyle w:val="Heading3"/>
      </w:pPr>
      <w:r>
        <w:t xml:space="preserve">Indexed Trend</w:t>
      </w:r>
    </w:p>
    <w:p>
      <w:pPr>
        <w:pStyle w:val="CaptionedFigure"/>
      </w:pPr>
      <w:r>
        <w:drawing>
          <wp:inline>
            <wp:extent cx="5334000" cy="1879575"/>
            <wp:effectExtent b="0" l="0" r="0" t="0"/>
            <wp:docPr descr="Indexed trend" title="" id="53" name="Picture"/>
            <a:graphic>
              <a:graphicData uri="http://schemas.openxmlformats.org/drawingml/2006/picture">
                <pic:pic>
                  <pic:nvPicPr>
                    <pic:cNvPr descr="../data/33kv_incoming_feeder_indexed_trend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9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Indexed trend</w:t>
      </w:r>
    </w:p>
    <w:bookmarkEnd w:id="55"/>
    <w:bookmarkStart w:id="59" w:name="weekday-month-heatmap"/>
    <w:p>
      <w:pPr>
        <w:pStyle w:val="Heading3"/>
      </w:pPr>
      <w:r>
        <w:t xml:space="preserve">Weekday-Month Heatmap</w:t>
      </w:r>
    </w:p>
    <w:p>
      <w:pPr>
        <w:pStyle w:val="CaptionedFigure"/>
      </w:pPr>
      <w:r>
        <w:drawing>
          <wp:inline>
            <wp:extent cx="5334000" cy="2357654"/>
            <wp:effectExtent b="0" l="0" r="0" t="0"/>
            <wp:docPr descr="Weekday-month heatmap" title="" id="57" name="Picture"/>
            <a:graphic>
              <a:graphicData uri="http://schemas.openxmlformats.org/drawingml/2006/picture">
                <pic:pic>
                  <pic:nvPicPr>
                    <pic:cNvPr descr="../data/33kv_incoming_feeder_weekday_month_heatmap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7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Weekday-month heatmap</w:t>
      </w:r>
    </w:p>
    <w:bookmarkEnd w:id="59"/>
    <w:bookmarkStart w:id="63" w:name="kwh-vs-vend-scatter"/>
    <w:p>
      <w:pPr>
        <w:pStyle w:val="Heading3"/>
      </w:pPr>
      <w:r>
        <w:t xml:space="preserve">kWh vs Vend Scatter</w:t>
      </w:r>
    </w:p>
    <w:p>
      <w:pPr>
        <w:pStyle w:val="CaptionedFigure"/>
      </w:pPr>
      <w:r>
        <w:drawing>
          <wp:inline>
            <wp:extent cx="5334000" cy="4137551"/>
            <wp:effectExtent b="0" l="0" r="0" t="0"/>
            <wp:docPr descr="kWh vs vend scatter" title="" id="61" name="Picture"/>
            <a:graphic>
              <a:graphicData uri="http://schemas.openxmlformats.org/drawingml/2006/picture">
                <pic:pic>
                  <pic:nvPicPr>
                    <pic:cNvPr descr="../data/33kv_incoming_feeder_kwh_vs_vend_scatter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7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kWh vs vend scatter</w:t>
      </w:r>
    </w:p>
    <w:bookmarkEnd w:id="63"/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2" Target="media/rId52.png" /><Relationship Type="http://schemas.openxmlformats.org/officeDocument/2006/relationships/image" Id="rId33" Target="media/rId33.png" /><Relationship Type="http://schemas.openxmlformats.org/officeDocument/2006/relationships/image" Id="rId60" Target="media/rId60.png" /><Relationship Type="http://schemas.openxmlformats.org/officeDocument/2006/relationships/image" Id="rId48" Target="media/rId48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56" Target="media/rId56.png" /><Relationship Type="http://schemas.openxmlformats.org/officeDocument/2006/relationships/hyperlink" Id="rId20" Target="/f:/Secure/CashFlowMgmt/notebooks/33kv_incoming_feeder_daily_long_transform.ipyn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/f:/Secure/CashFlowMgmt/notebooks/33kv_incoming_feeder_daily_long_transform.ipyn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2026-04-07T13:44:00Z</dcterms:created>
  <dcterms:modified xsi:type="dcterms:W3CDTF">2026-04-07T13:44:00Z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