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C42185"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834EF3" w:rsidRDefault="00834EF3" w:rsidP="00DB04D5">
                  <w:pPr>
                    <w:pStyle w:val="Normalmenor"/>
                  </w:pPr>
                  <w:r>
                    <w:t>Sobrenome</w:t>
                  </w:r>
                  <w:r w:rsidRPr="00045424">
                    <w:t xml:space="preserve">, </w:t>
                  </w:r>
                  <w:r>
                    <w:t>Nome</w:t>
                  </w:r>
                </w:p>
                <w:p w:rsidR="00834EF3" w:rsidRPr="00D8262D" w:rsidRDefault="00834EF3" w:rsidP="00DB04D5">
                  <w:pPr>
                    <w:pStyle w:val="Normalmenor"/>
                  </w:pPr>
                </w:p>
                <w:p w:rsidR="00834EF3" w:rsidRDefault="00834EF3"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834EF3" w:rsidRPr="00BD1276" w:rsidRDefault="00834EF3" w:rsidP="00DB04D5">
                  <w:pPr>
                    <w:pStyle w:val="Normalmenor"/>
                  </w:pPr>
                </w:p>
                <w:p w:rsidR="00834EF3" w:rsidRPr="00BD1276" w:rsidRDefault="00834EF3" w:rsidP="00DB04D5">
                  <w:pPr>
                    <w:pStyle w:val="Normalmenor"/>
                  </w:pPr>
                  <w:r>
                    <w:t>Nº de páginas</w:t>
                  </w:r>
                </w:p>
                <w:p w:rsidR="00834EF3" w:rsidRDefault="00834EF3" w:rsidP="00DB04D5">
                  <w:pPr>
                    <w:pStyle w:val="Normalmenor"/>
                  </w:pPr>
                </w:p>
                <w:p w:rsidR="00834EF3" w:rsidRDefault="00834EF3" w:rsidP="00DB04D5">
                  <w:pPr>
                    <w:pStyle w:val="Normalmenor"/>
                  </w:pPr>
                  <w:r w:rsidRPr="00D8262D">
                    <w:t xml:space="preserve">Área de concentração: </w:t>
                  </w:r>
                  <w:r>
                    <w:t>Lorem ipsum</w:t>
                  </w:r>
                  <w:r w:rsidRPr="00D8262D">
                    <w:t>.</w:t>
                  </w:r>
                </w:p>
                <w:p w:rsidR="00834EF3" w:rsidRPr="00D8262D" w:rsidRDefault="00834EF3" w:rsidP="00DB04D5">
                  <w:pPr>
                    <w:pStyle w:val="Normalmenor"/>
                  </w:pPr>
                </w:p>
                <w:p w:rsidR="00834EF3" w:rsidRDefault="00834EF3" w:rsidP="00DB04D5">
                  <w:pPr>
                    <w:pStyle w:val="Normalmenor"/>
                  </w:pPr>
                  <w:r>
                    <w:t xml:space="preserve">Orientador: </w:t>
                  </w:r>
                  <w:r w:rsidRPr="00BD1276">
                    <w:t xml:space="preserve">Prof. Dr. </w:t>
                  </w:r>
                  <w:r>
                    <w:t>Fulano de Tal.</w:t>
                  </w:r>
                </w:p>
                <w:p w:rsidR="00834EF3" w:rsidRPr="00C7184E" w:rsidRDefault="00834EF3" w:rsidP="00DB04D5">
                  <w:pPr>
                    <w:pStyle w:val="Normalmenor"/>
                  </w:pPr>
                </w:p>
                <w:p w:rsidR="00834EF3" w:rsidRDefault="00834EF3" w:rsidP="00DB04D5">
                  <w:pPr>
                    <w:pStyle w:val="Normalmenor"/>
                  </w:pPr>
                  <w:r>
                    <w:t>Tese (DOUTORADO ou Mestrado</w:t>
                  </w:r>
                  <w:r w:rsidRPr="00D8262D">
                    <w:t xml:space="preserve">) </w:t>
                  </w:r>
                  <w:r>
                    <w:t>–</w:t>
                  </w:r>
                  <w:r w:rsidRPr="00D8262D">
                    <w:t xml:space="preserve"> </w:t>
                  </w:r>
                  <w:r>
                    <w:t>Instituição com toda a hierarquia.</w:t>
                  </w:r>
                </w:p>
                <w:p w:rsidR="00834EF3" w:rsidRPr="00BD1276" w:rsidRDefault="00834EF3" w:rsidP="00DB04D5">
                  <w:pPr>
                    <w:pStyle w:val="Normalmenor"/>
                  </w:pPr>
                </w:p>
                <w:p w:rsidR="00834EF3" w:rsidRPr="00BD1276" w:rsidRDefault="00834EF3" w:rsidP="00DB04D5">
                  <w:pPr>
                    <w:pStyle w:val="Normalmenor"/>
                  </w:pPr>
                  <w:r w:rsidRPr="00045424">
                    <w:t>1.</w:t>
                  </w:r>
                  <w:r>
                    <w:t>Palavra chave;</w:t>
                  </w:r>
                  <w:r w:rsidRPr="00045424">
                    <w:t xml:space="preserve"> 2. </w:t>
                  </w:r>
                  <w:r>
                    <w:t>Palavra chave;</w:t>
                  </w:r>
                  <w:r w:rsidRPr="00045424">
                    <w:t xml:space="preserve"> 3. </w:t>
                  </w:r>
                  <w:r>
                    <w:t>Palavra chave</w:t>
                  </w:r>
                </w:p>
                <w:p w:rsidR="00834EF3" w:rsidRPr="00DB04D5" w:rsidRDefault="00834EF3"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9007E5" w:rsidRDefault="00C42185">
      <w:pPr>
        <w:pStyle w:val="Sumrio1"/>
        <w:rPr>
          <w:rFonts w:asciiTheme="minorHAnsi" w:eastAsiaTheme="minorEastAsia" w:hAnsiTheme="minorHAnsi" w:cstheme="minorBidi"/>
          <w:b w:val="0"/>
          <w:caps w:val="0"/>
          <w:sz w:val="22"/>
          <w:szCs w:val="22"/>
          <w:lang w:eastAsia="pt-BR"/>
        </w:rPr>
      </w:pPr>
      <w:r w:rsidRPr="00C42185">
        <w:fldChar w:fldCharType="begin"/>
      </w:r>
      <w:r w:rsidR="00370E34">
        <w:instrText xml:space="preserve"> TOC \o "1-9" \* MERGEFORMAT \u "Título do apêndice" \T "Título do Anexo" \* MERGEFORMAT </w:instrText>
      </w:r>
      <w:r w:rsidRPr="00C42185">
        <w:fldChar w:fldCharType="separate"/>
      </w:r>
      <w:r w:rsidR="009007E5">
        <w:t>LISTA DE ILUSTRAÇÕES</w:t>
      </w:r>
      <w:r w:rsidR="009007E5">
        <w:tab/>
      </w:r>
      <w:r>
        <w:fldChar w:fldCharType="begin"/>
      </w:r>
      <w:r w:rsidR="009007E5">
        <w:instrText xml:space="preserve"> PAGEREF _Toc421021100 \h </w:instrText>
      </w:r>
      <w:r>
        <w:fldChar w:fldCharType="separate"/>
      </w:r>
      <w:r w:rsidR="009007E5">
        <w:t>vii</w:t>
      </w:r>
      <w: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Resumo</w:t>
      </w:r>
      <w:r>
        <w:tab/>
      </w:r>
      <w:r w:rsidR="00C42185">
        <w:fldChar w:fldCharType="begin"/>
      </w:r>
      <w:r>
        <w:instrText xml:space="preserve"> PAGEREF _Toc421021101 \h </w:instrText>
      </w:r>
      <w:r w:rsidR="00C42185">
        <w:fldChar w:fldCharType="separate"/>
      </w:r>
      <w:r>
        <w:t>viii</w:t>
      </w:r>
      <w:r w:rsidR="00C421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Abstract</w:t>
      </w:r>
      <w:r>
        <w:tab/>
      </w:r>
      <w:r w:rsidR="00C42185">
        <w:fldChar w:fldCharType="begin"/>
      </w:r>
      <w:r>
        <w:instrText xml:space="preserve"> PAGEREF _Toc421021102 \h </w:instrText>
      </w:r>
      <w:r w:rsidR="00C42185">
        <w:fldChar w:fldCharType="separate"/>
      </w:r>
      <w:r>
        <w:t>ix</w:t>
      </w:r>
      <w:r w:rsidR="00C421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C42185">
        <w:fldChar w:fldCharType="begin"/>
      </w:r>
      <w:r>
        <w:instrText xml:space="preserve"> PAGEREF _Toc421021103 \h </w:instrText>
      </w:r>
      <w:r w:rsidR="00C42185">
        <w:fldChar w:fldCharType="separate"/>
      </w:r>
      <w:r>
        <w:t>11</w:t>
      </w:r>
      <w:r w:rsidR="00C421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C42185">
        <w:rPr>
          <w:noProof/>
        </w:rPr>
        <w:fldChar w:fldCharType="begin"/>
      </w:r>
      <w:r>
        <w:rPr>
          <w:noProof/>
        </w:rPr>
        <w:instrText xml:space="preserve"> PAGEREF _Toc421021104 \h </w:instrText>
      </w:r>
      <w:r w:rsidR="00C42185">
        <w:rPr>
          <w:noProof/>
        </w:rPr>
      </w:r>
      <w:r w:rsidR="00C42185">
        <w:rPr>
          <w:noProof/>
        </w:rPr>
        <w:fldChar w:fldCharType="separate"/>
      </w:r>
      <w:r>
        <w:rPr>
          <w:noProof/>
        </w:rPr>
        <w:t>11</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C42185">
        <w:rPr>
          <w:noProof/>
        </w:rPr>
        <w:fldChar w:fldCharType="begin"/>
      </w:r>
      <w:r>
        <w:rPr>
          <w:noProof/>
        </w:rPr>
        <w:instrText xml:space="preserve"> PAGEREF _Toc421021105 \h </w:instrText>
      </w:r>
      <w:r w:rsidR="00C42185">
        <w:rPr>
          <w:noProof/>
        </w:rPr>
      </w:r>
      <w:r w:rsidR="00C42185">
        <w:rPr>
          <w:noProof/>
        </w:rPr>
        <w:fldChar w:fldCharType="separate"/>
      </w:r>
      <w:r>
        <w:rPr>
          <w:noProof/>
        </w:rPr>
        <w:t>11</w:t>
      </w:r>
      <w:r w:rsidR="00C421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rsidR="00C42185">
        <w:fldChar w:fldCharType="begin"/>
      </w:r>
      <w:r>
        <w:instrText xml:space="preserve"> PAGEREF _Toc421021106 \h </w:instrText>
      </w:r>
      <w:r w:rsidR="00C42185">
        <w:fldChar w:fldCharType="separate"/>
      </w:r>
      <w:r>
        <w:t>14</w:t>
      </w:r>
      <w:r w:rsidR="00C421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C42185">
        <w:rPr>
          <w:noProof/>
        </w:rPr>
        <w:fldChar w:fldCharType="begin"/>
      </w:r>
      <w:r>
        <w:rPr>
          <w:noProof/>
        </w:rPr>
        <w:instrText xml:space="preserve"> PAGEREF _Toc421021107 \h </w:instrText>
      </w:r>
      <w:r w:rsidR="00C42185">
        <w:rPr>
          <w:noProof/>
        </w:rPr>
      </w:r>
      <w:r w:rsidR="00C42185">
        <w:rPr>
          <w:noProof/>
        </w:rPr>
        <w:fldChar w:fldCharType="separate"/>
      </w:r>
      <w:r>
        <w:rPr>
          <w:noProof/>
        </w:rPr>
        <w:t>14</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2.1.1</w:t>
      </w:r>
      <w:r>
        <w:rPr>
          <w:rFonts w:asciiTheme="minorHAnsi" w:eastAsiaTheme="minorEastAsia" w:hAnsiTheme="minorHAnsi" w:cstheme="minorBidi"/>
          <w:noProof/>
          <w:sz w:val="22"/>
          <w:szCs w:val="22"/>
          <w:lang w:eastAsia="pt-BR"/>
        </w:rPr>
        <w:tab/>
      </w:r>
      <w:r w:rsidRPr="00610590">
        <w:rPr>
          <w:b/>
          <w:noProof/>
        </w:rPr>
        <w:t>Neuropatias multiplas</w:t>
      </w:r>
      <w:r>
        <w:rPr>
          <w:noProof/>
        </w:rPr>
        <w:tab/>
      </w:r>
      <w:r w:rsidR="00C42185">
        <w:rPr>
          <w:noProof/>
        </w:rPr>
        <w:fldChar w:fldCharType="begin"/>
      </w:r>
      <w:r>
        <w:rPr>
          <w:noProof/>
        </w:rPr>
        <w:instrText xml:space="preserve"> PAGEREF _Toc421021108 \h </w:instrText>
      </w:r>
      <w:r w:rsidR="00C42185">
        <w:rPr>
          <w:noProof/>
        </w:rPr>
      </w:r>
      <w:r w:rsidR="00C42185">
        <w:rPr>
          <w:noProof/>
        </w:rPr>
        <w:fldChar w:fldCharType="separate"/>
      </w:r>
      <w:r>
        <w:rPr>
          <w:noProof/>
        </w:rPr>
        <w:t>14</w:t>
      </w:r>
      <w:r w:rsidR="00C42185">
        <w:rPr>
          <w:noProof/>
        </w:rPr>
        <w:fldChar w:fldCharType="end"/>
      </w:r>
    </w:p>
    <w:p w:rsidR="009007E5" w:rsidRDefault="009007E5">
      <w:pPr>
        <w:pStyle w:val="Sumrio4"/>
        <w:rPr>
          <w:rFonts w:asciiTheme="minorHAnsi" w:eastAsiaTheme="minorEastAsia" w:hAnsiTheme="minorHAnsi" w:cstheme="minorBidi"/>
          <w:noProof/>
          <w:sz w:val="22"/>
          <w:szCs w:val="22"/>
          <w:lang w:eastAsia="pt-BR"/>
        </w:rPr>
      </w:pPr>
      <w:r w:rsidRPr="00610590">
        <w:rPr>
          <w:i/>
          <w:noProof/>
        </w:rPr>
        <w:t>2.1.1.1</w:t>
      </w:r>
      <w:r>
        <w:rPr>
          <w:rFonts w:asciiTheme="minorHAnsi" w:eastAsiaTheme="minorEastAsia" w:hAnsiTheme="minorHAnsi" w:cstheme="minorBidi"/>
          <w:noProof/>
          <w:sz w:val="22"/>
          <w:szCs w:val="22"/>
          <w:lang w:eastAsia="pt-BR"/>
        </w:rPr>
        <w:tab/>
      </w:r>
      <w:r w:rsidRPr="00610590">
        <w:rPr>
          <w:i/>
          <w:noProof/>
        </w:rPr>
        <w:t>Neuropatia autonônica</w:t>
      </w:r>
      <w:r>
        <w:rPr>
          <w:noProof/>
        </w:rPr>
        <w:tab/>
      </w:r>
      <w:r w:rsidR="00C42185">
        <w:rPr>
          <w:noProof/>
        </w:rPr>
        <w:fldChar w:fldCharType="begin"/>
      </w:r>
      <w:r>
        <w:rPr>
          <w:noProof/>
        </w:rPr>
        <w:instrText xml:space="preserve"> PAGEREF _Toc421021109 \h </w:instrText>
      </w:r>
      <w:r w:rsidR="00C42185">
        <w:rPr>
          <w:noProof/>
        </w:rPr>
      </w:r>
      <w:r w:rsidR="00C42185">
        <w:rPr>
          <w:noProof/>
        </w:rPr>
        <w:fldChar w:fldCharType="separate"/>
      </w:r>
      <w:r>
        <w:rPr>
          <w:noProof/>
        </w:rPr>
        <w:t>16</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C42185">
        <w:rPr>
          <w:noProof/>
        </w:rPr>
        <w:fldChar w:fldCharType="begin"/>
      </w:r>
      <w:r>
        <w:rPr>
          <w:noProof/>
        </w:rPr>
        <w:instrText xml:space="preserve"> PAGEREF _Toc421021110 \h </w:instrText>
      </w:r>
      <w:r w:rsidR="00C42185">
        <w:rPr>
          <w:noProof/>
        </w:rPr>
      </w:r>
      <w:r w:rsidR="00C42185">
        <w:rPr>
          <w:noProof/>
        </w:rPr>
        <w:fldChar w:fldCharType="separate"/>
      </w:r>
      <w:r>
        <w:rPr>
          <w:noProof/>
        </w:rPr>
        <w:t>18</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C42185">
        <w:rPr>
          <w:noProof/>
        </w:rPr>
        <w:fldChar w:fldCharType="begin"/>
      </w:r>
      <w:r>
        <w:rPr>
          <w:noProof/>
        </w:rPr>
        <w:instrText xml:space="preserve"> PAGEREF _Toc421021111 \h </w:instrText>
      </w:r>
      <w:r w:rsidR="00C42185">
        <w:rPr>
          <w:noProof/>
        </w:rPr>
      </w:r>
      <w:r w:rsidR="00C42185">
        <w:rPr>
          <w:noProof/>
        </w:rPr>
        <w:fldChar w:fldCharType="separate"/>
      </w:r>
      <w:r>
        <w:rPr>
          <w:noProof/>
        </w:rPr>
        <w:t>18</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C42185">
        <w:rPr>
          <w:noProof/>
        </w:rPr>
        <w:fldChar w:fldCharType="begin"/>
      </w:r>
      <w:r>
        <w:rPr>
          <w:noProof/>
        </w:rPr>
        <w:instrText xml:space="preserve"> PAGEREF _Toc421021112 \h </w:instrText>
      </w:r>
      <w:r w:rsidR="00C42185">
        <w:rPr>
          <w:noProof/>
        </w:rPr>
      </w:r>
      <w:r w:rsidR="00C42185">
        <w:rPr>
          <w:noProof/>
        </w:rPr>
        <w:fldChar w:fldCharType="separate"/>
      </w:r>
      <w:r>
        <w:rPr>
          <w:noProof/>
        </w:rPr>
        <w:t>19</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C42185">
        <w:rPr>
          <w:noProof/>
        </w:rPr>
        <w:fldChar w:fldCharType="begin"/>
      </w:r>
      <w:r>
        <w:rPr>
          <w:noProof/>
        </w:rPr>
        <w:instrText xml:space="preserve"> PAGEREF _Toc421021113 \h </w:instrText>
      </w:r>
      <w:r w:rsidR="00C42185">
        <w:rPr>
          <w:noProof/>
        </w:rPr>
      </w:r>
      <w:r w:rsidR="00C42185">
        <w:rPr>
          <w:noProof/>
        </w:rPr>
        <w:fldChar w:fldCharType="separate"/>
      </w:r>
      <w:r>
        <w:rPr>
          <w:noProof/>
        </w:rPr>
        <w:t>19</w:t>
      </w:r>
      <w:r w:rsidR="00C421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C42185">
        <w:fldChar w:fldCharType="begin"/>
      </w:r>
      <w:r>
        <w:instrText xml:space="preserve"> PAGEREF _Toc421021114 \h </w:instrText>
      </w:r>
      <w:r w:rsidR="00C42185">
        <w:fldChar w:fldCharType="separate"/>
      </w:r>
      <w:r>
        <w:t>22</w:t>
      </w:r>
      <w:r w:rsidR="00C421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C42185">
        <w:rPr>
          <w:noProof/>
        </w:rPr>
        <w:fldChar w:fldCharType="begin"/>
      </w:r>
      <w:r>
        <w:rPr>
          <w:noProof/>
        </w:rPr>
        <w:instrText xml:space="preserve"> PAGEREF _Toc421021115 \h </w:instrText>
      </w:r>
      <w:r w:rsidR="00C42185">
        <w:rPr>
          <w:noProof/>
        </w:rPr>
      </w:r>
      <w:r w:rsidR="00C42185">
        <w:rPr>
          <w:noProof/>
        </w:rPr>
        <w:fldChar w:fldCharType="separate"/>
      </w:r>
      <w:r>
        <w:rPr>
          <w:noProof/>
        </w:rPr>
        <w:t>22</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3.1.1</w:t>
      </w:r>
      <w:r>
        <w:rPr>
          <w:rFonts w:asciiTheme="minorHAnsi" w:eastAsiaTheme="minorEastAsia" w:hAnsiTheme="minorHAnsi" w:cstheme="minorBidi"/>
          <w:noProof/>
          <w:sz w:val="22"/>
          <w:szCs w:val="22"/>
          <w:lang w:eastAsia="pt-BR"/>
        </w:rPr>
        <w:tab/>
      </w:r>
      <w:r w:rsidRPr="00610590">
        <w:rPr>
          <w:b/>
          <w:noProof/>
        </w:rPr>
        <w:t>Algoritmo de Goertzel</w:t>
      </w:r>
      <w:r>
        <w:rPr>
          <w:noProof/>
        </w:rPr>
        <w:tab/>
      </w:r>
      <w:r w:rsidR="00C42185">
        <w:rPr>
          <w:noProof/>
        </w:rPr>
        <w:fldChar w:fldCharType="begin"/>
      </w:r>
      <w:r>
        <w:rPr>
          <w:noProof/>
        </w:rPr>
        <w:instrText xml:space="preserve"> PAGEREF _Toc421021116 \h </w:instrText>
      </w:r>
      <w:r w:rsidR="00C42185">
        <w:rPr>
          <w:noProof/>
        </w:rPr>
      </w:r>
      <w:r w:rsidR="00C42185">
        <w:rPr>
          <w:noProof/>
        </w:rPr>
        <w:fldChar w:fldCharType="separate"/>
      </w:r>
      <w:r>
        <w:rPr>
          <w:noProof/>
        </w:rPr>
        <w:t>24</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3.1.2</w:t>
      </w:r>
      <w:r>
        <w:rPr>
          <w:rFonts w:asciiTheme="minorHAnsi" w:eastAsiaTheme="minorEastAsia" w:hAnsiTheme="minorHAnsi" w:cstheme="minorBidi"/>
          <w:noProof/>
          <w:sz w:val="22"/>
          <w:szCs w:val="22"/>
          <w:lang w:eastAsia="pt-BR"/>
        </w:rPr>
        <w:tab/>
      </w:r>
      <w:r w:rsidRPr="00610590">
        <w:rPr>
          <w:b/>
          <w:noProof/>
        </w:rPr>
        <w:t>Aplificação dos sinais</w:t>
      </w:r>
      <w:r>
        <w:rPr>
          <w:noProof/>
        </w:rPr>
        <w:tab/>
      </w:r>
      <w:r w:rsidR="00C42185">
        <w:rPr>
          <w:noProof/>
        </w:rPr>
        <w:fldChar w:fldCharType="begin"/>
      </w:r>
      <w:r>
        <w:rPr>
          <w:noProof/>
        </w:rPr>
        <w:instrText xml:space="preserve"> PAGEREF _Toc421021117 \h </w:instrText>
      </w:r>
      <w:r w:rsidR="00C42185">
        <w:rPr>
          <w:noProof/>
        </w:rPr>
      </w:r>
      <w:r w:rsidR="00C42185">
        <w:rPr>
          <w:noProof/>
        </w:rPr>
        <w:fldChar w:fldCharType="separate"/>
      </w:r>
      <w:r>
        <w:rPr>
          <w:noProof/>
        </w:rPr>
        <w:t>25</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3.1.3</w:t>
      </w:r>
      <w:r>
        <w:rPr>
          <w:rFonts w:asciiTheme="minorHAnsi" w:eastAsiaTheme="minorEastAsia" w:hAnsiTheme="minorHAnsi" w:cstheme="minorBidi"/>
          <w:noProof/>
          <w:sz w:val="22"/>
          <w:szCs w:val="22"/>
          <w:lang w:eastAsia="pt-BR"/>
        </w:rPr>
        <w:tab/>
      </w:r>
      <w:r w:rsidRPr="00610590">
        <w:rPr>
          <w:b/>
          <w:noProof/>
        </w:rPr>
        <w:t>Conversores AD-DA</w:t>
      </w:r>
      <w:r>
        <w:rPr>
          <w:noProof/>
        </w:rPr>
        <w:tab/>
      </w:r>
      <w:r w:rsidR="00C42185">
        <w:rPr>
          <w:noProof/>
        </w:rPr>
        <w:fldChar w:fldCharType="begin"/>
      </w:r>
      <w:r>
        <w:rPr>
          <w:noProof/>
        </w:rPr>
        <w:instrText xml:space="preserve"> PAGEREF _Toc421021118 \h </w:instrText>
      </w:r>
      <w:r w:rsidR="00C42185">
        <w:rPr>
          <w:noProof/>
        </w:rPr>
      </w:r>
      <w:r w:rsidR="00C42185">
        <w:rPr>
          <w:noProof/>
        </w:rPr>
        <w:fldChar w:fldCharType="separate"/>
      </w:r>
      <w:r>
        <w:rPr>
          <w:noProof/>
        </w:rPr>
        <w:t>26</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3.1.4</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C42185">
        <w:rPr>
          <w:noProof/>
        </w:rPr>
        <w:fldChar w:fldCharType="begin"/>
      </w:r>
      <w:r>
        <w:rPr>
          <w:noProof/>
        </w:rPr>
        <w:instrText xml:space="preserve"> PAGEREF _Toc421021119 \h </w:instrText>
      </w:r>
      <w:r w:rsidR="00C42185">
        <w:rPr>
          <w:noProof/>
        </w:rPr>
      </w:r>
      <w:r w:rsidR="00C42185">
        <w:rPr>
          <w:noProof/>
        </w:rPr>
        <w:fldChar w:fldCharType="separate"/>
      </w:r>
      <w:r>
        <w:rPr>
          <w:noProof/>
        </w:rPr>
        <w:t>26</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3.1.5</w:t>
      </w:r>
      <w:r>
        <w:rPr>
          <w:rFonts w:asciiTheme="minorHAnsi" w:eastAsiaTheme="minorEastAsia" w:hAnsiTheme="minorHAnsi" w:cstheme="minorBidi"/>
          <w:noProof/>
          <w:sz w:val="22"/>
          <w:szCs w:val="22"/>
          <w:lang w:eastAsia="pt-BR"/>
        </w:rPr>
        <w:tab/>
      </w:r>
      <w:r w:rsidRPr="00610590">
        <w:rPr>
          <w:b/>
          <w:noProof/>
        </w:rPr>
        <w:t>Estrutural</w:t>
      </w:r>
      <w:r>
        <w:rPr>
          <w:noProof/>
        </w:rPr>
        <w:tab/>
      </w:r>
      <w:r w:rsidR="00C42185">
        <w:rPr>
          <w:noProof/>
        </w:rPr>
        <w:fldChar w:fldCharType="begin"/>
      </w:r>
      <w:r>
        <w:rPr>
          <w:noProof/>
        </w:rPr>
        <w:instrText xml:space="preserve"> PAGEREF _Toc421021120 \h </w:instrText>
      </w:r>
      <w:r w:rsidR="00C42185">
        <w:rPr>
          <w:noProof/>
        </w:rPr>
      </w:r>
      <w:r w:rsidR="00C42185">
        <w:rPr>
          <w:noProof/>
        </w:rPr>
        <w:fldChar w:fldCharType="separate"/>
      </w:r>
      <w:r>
        <w:rPr>
          <w:noProof/>
        </w:rPr>
        <w:t>26</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C42185">
        <w:rPr>
          <w:noProof/>
        </w:rPr>
        <w:fldChar w:fldCharType="begin"/>
      </w:r>
      <w:r>
        <w:rPr>
          <w:noProof/>
        </w:rPr>
        <w:instrText xml:space="preserve"> PAGEREF _Toc421021121 \h </w:instrText>
      </w:r>
      <w:r w:rsidR="00C42185">
        <w:rPr>
          <w:noProof/>
        </w:rPr>
      </w:r>
      <w:r w:rsidR="00C42185">
        <w:rPr>
          <w:noProof/>
        </w:rPr>
        <w:fldChar w:fldCharType="separate"/>
      </w:r>
      <w:r>
        <w:rPr>
          <w:noProof/>
        </w:rPr>
        <w:t>26</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C42185">
        <w:rPr>
          <w:noProof/>
        </w:rPr>
        <w:fldChar w:fldCharType="begin"/>
      </w:r>
      <w:r>
        <w:rPr>
          <w:noProof/>
        </w:rPr>
        <w:instrText xml:space="preserve"> PAGEREF _Toc421021122 \h </w:instrText>
      </w:r>
      <w:r w:rsidR="00C42185">
        <w:rPr>
          <w:noProof/>
        </w:rPr>
      </w:r>
      <w:r w:rsidR="00C42185">
        <w:rPr>
          <w:noProof/>
        </w:rPr>
        <w:fldChar w:fldCharType="separate"/>
      </w:r>
      <w:r>
        <w:rPr>
          <w:noProof/>
        </w:rPr>
        <w:t>27</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C42185">
        <w:rPr>
          <w:noProof/>
        </w:rPr>
        <w:fldChar w:fldCharType="begin"/>
      </w:r>
      <w:r>
        <w:rPr>
          <w:noProof/>
        </w:rPr>
        <w:instrText xml:space="preserve"> PAGEREF _Toc421021123 \h </w:instrText>
      </w:r>
      <w:r w:rsidR="00C42185">
        <w:rPr>
          <w:noProof/>
        </w:rPr>
      </w:r>
      <w:r w:rsidR="00C42185">
        <w:rPr>
          <w:noProof/>
        </w:rPr>
        <w:fldChar w:fldCharType="separate"/>
      </w:r>
      <w:r>
        <w:rPr>
          <w:noProof/>
        </w:rPr>
        <w:t>27</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C42185">
        <w:rPr>
          <w:noProof/>
        </w:rPr>
        <w:fldChar w:fldCharType="begin"/>
      </w:r>
      <w:r>
        <w:rPr>
          <w:noProof/>
        </w:rPr>
        <w:instrText xml:space="preserve"> PAGEREF _Toc421021124 \h </w:instrText>
      </w:r>
      <w:r w:rsidR="00C42185">
        <w:rPr>
          <w:noProof/>
        </w:rPr>
      </w:r>
      <w:r w:rsidR="00C42185">
        <w:rPr>
          <w:noProof/>
        </w:rPr>
        <w:fldChar w:fldCharType="separate"/>
      </w:r>
      <w:r>
        <w:rPr>
          <w:noProof/>
        </w:rPr>
        <w:t>27</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C42185">
        <w:rPr>
          <w:noProof/>
        </w:rPr>
        <w:fldChar w:fldCharType="begin"/>
      </w:r>
      <w:r>
        <w:rPr>
          <w:noProof/>
        </w:rPr>
        <w:instrText xml:space="preserve"> PAGEREF _Toc421021125 \h </w:instrText>
      </w:r>
      <w:r w:rsidR="00C42185">
        <w:rPr>
          <w:noProof/>
        </w:rPr>
      </w:r>
      <w:r w:rsidR="00C42185">
        <w:rPr>
          <w:noProof/>
        </w:rPr>
        <w:fldChar w:fldCharType="separate"/>
      </w:r>
      <w:r>
        <w:rPr>
          <w:noProof/>
        </w:rPr>
        <w:t>27</w:t>
      </w:r>
      <w:r w:rsidR="00C421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rsidRPr="00610590">
        <w:rPr>
          <w:color w:val="000000"/>
        </w:rPr>
        <w:t>4</w:t>
      </w:r>
      <w:r>
        <w:rPr>
          <w:rFonts w:asciiTheme="minorHAnsi" w:eastAsiaTheme="minorEastAsia" w:hAnsiTheme="minorHAnsi" w:cstheme="minorBidi"/>
          <w:b w:val="0"/>
          <w:caps w:val="0"/>
          <w:sz w:val="22"/>
          <w:szCs w:val="22"/>
          <w:lang w:eastAsia="pt-BR"/>
        </w:rPr>
        <w:tab/>
      </w:r>
      <w:r w:rsidRPr="00610590">
        <w:rPr>
          <w:color w:val="000000"/>
        </w:rPr>
        <w:t>RESULTADOS</w:t>
      </w:r>
      <w:r>
        <w:tab/>
      </w:r>
      <w:r w:rsidR="00C42185">
        <w:fldChar w:fldCharType="begin"/>
      </w:r>
      <w:r>
        <w:instrText xml:space="preserve"> PAGEREF _Toc421021126 \h </w:instrText>
      </w:r>
      <w:r w:rsidR="00C42185">
        <w:fldChar w:fldCharType="separate"/>
      </w:r>
      <w:r>
        <w:t>30</w:t>
      </w:r>
      <w:r w:rsidR="00C421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C42185">
        <w:rPr>
          <w:noProof/>
        </w:rPr>
        <w:fldChar w:fldCharType="begin"/>
      </w:r>
      <w:r>
        <w:rPr>
          <w:noProof/>
        </w:rPr>
        <w:instrText xml:space="preserve"> PAGEREF _Toc421021127 \h </w:instrText>
      </w:r>
      <w:r w:rsidR="00C42185">
        <w:rPr>
          <w:noProof/>
        </w:rPr>
      </w:r>
      <w:r w:rsidR="00C42185">
        <w:rPr>
          <w:noProof/>
        </w:rPr>
        <w:fldChar w:fldCharType="separate"/>
      </w:r>
      <w:r>
        <w:rPr>
          <w:noProof/>
        </w:rPr>
        <w:t>30</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4.1.1</w:t>
      </w:r>
      <w:r>
        <w:rPr>
          <w:rFonts w:asciiTheme="minorHAnsi" w:eastAsiaTheme="minorEastAsia" w:hAnsiTheme="minorHAnsi" w:cstheme="minorBidi"/>
          <w:noProof/>
          <w:sz w:val="22"/>
          <w:szCs w:val="22"/>
          <w:lang w:eastAsia="pt-BR"/>
        </w:rPr>
        <w:tab/>
      </w:r>
      <w:r w:rsidRPr="00610590">
        <w:rPr>
          <w:b/>
          <w:noProof/>
        </w:rPr>
        <w:t>Controle automático de ganho</w:t>
      </w:r>
      <w:r>
        <w:rPr>
          <w:noProof/>
        </w:rPr>
        <w:tab/>
      </w:r>
      <w:r w:rsidR="00C42185">
        <w:rPr>
          <w:noProof/>
        </w:rPr>
        <w:fldChar w:fldCharType="begin"/>
      </w:r>
      <w:r>
        <w:rPr>
          <w:noProof/>
        </w:rPr>
        <w:instrText xml:space="preserve"> PAGEREF _Toc421021128 \h </w:instrText>
      </w:r>
      <w:r w:rsidR="00C42185">
        <w:rPr>
          <w:noProof/>
        </w:rPr>
      </w:r>
      <w:r w:rsidR="00C42185">
        <w:rPr>
          <w:noProof/>
        </w:rPr>
        <w:fldChar w:fldCharType="separate"/>
      </w:r>
      <w:r>
        <w:rPr>
          <w:noProof/>
        </w:rPr>
        <w:t>30</w:t>
      </w:r>
      <w:r w:rsidR="00C42185">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4.1.2</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C42185">
        <w:rPr>
          <w:noProof/>
        </w:rPr>
        <w:fldChar w:fldCharType="begin"/>
      </w:r>
      <w:r>
        <w:rPr>
          <w:noProof/>
        </w:rPr>
        <w:instrText xml:space="preserve"> PAGEREF _Toc421021129 \h </w:instrText>
      </w:r>
      <w:r w:rsidR="00C42185">
        <w:rPr>
          <w:noProof/>
        </w:rPr>
      </w:r>
      <w:r w:rsidR="00C42185">
        <w:rPr>
          <w:noProof/>
        </w:rPr>
        <w:fldChar w:fldCharType="separate"/>
      </w:r>
      <w:r>
        <w:rPr>
          <w:noProof/>
        </w:rPr>
        <w:t>30</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C42185">
        <w:rPr>
          <w:noProof/>
        </w:rPr>
        <w:fldChar w:fldCharType="begin"/>
      </w:r>
      <w:r>
        <w:rPr>
          <w:noProof/>
        </w:rPr>
        <w:instrText xml:space="preserve"> PAGEREF _Toc421021130 \h </w:instrText>
      </w:r>
      <w:r w:rsidR="00C42185">
        <w:rPr>
          <w:noProof/>
        </w:rPr>
      </w:r>
      <w:r w:rsidR="00C42185">
        <w:rPr>
          <w:noProof/>
        </w:rPr>
        <w:fldChar w:fldCharType="separate"/>
      </w:r>
      <w:r>
        <w:rPr>
          <w:noProof/>
        </w:rPr>
        <w:t>31</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C42185">
        <w:rPr>
          <w:noProof/>
        </w:rPr>
        <w:fldChar w:fldCharType="begin"/>
      </w:r>
      <w:r>
        <w:rPr>
          <w:noProof/>
        </w:rPr>
        <w:instrText xml:space="preserve"> PAGEREF _Toc421021131 \h </w:instrText>
      </w:r>
      <w:r w:rsidR="00C42185">
        <w:rPr>
          <w:noProof/>
        </w:rPr>
      </w:r>
      <w:r w:rsidR="00C42185">
        <w:rPr>
          <w:noProof/>
        </w:rPr>
        <w:fldChar w:fldCharType="separate"/>
      </w:r>
      <w:r>
        <w:rPr>
          <w:noProof/>
        </w:rPr>
        <w:t>31</w:t>
      </w:r>
      <w:r w:rsidR="00C42185">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C42185">
        <w:rPr>
          <w:noProof/>
        </w:rPr>
        <w:fldChar w:fldCharType="begin"/>
      </w:r>
      <w:r>
        <w:rPr>
          <w:noProof/>
        </w:rPr>
        <w:instrText xml:space="preserve"> PAGEREF _Toc421021132 \h </w:instrText>
      </w:r>
      <w:r w:rsidR="00C42185">
        <w:rPr>
          <w:noProof/>
        </w:rPr>
      </w:r>
      <w:r w:rsidR="00C42185">
        <w:rPr>
          <w:noProof/>
        </w:rPr>
        <w:fldChar w:fldCharType="separate"/>
      </w:r>
      <w:r>
        <w:rPr>
          <w:noProof/>
        </w:rPr>
        <w:t>31</w:t>
      </w:r>
      <w:r w:rsidR="00C421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C42185">
        <w:fldChar w:fldCharType="begin"/>
      </w:r>
      <w:r>
        <w:instrText xml:space="preserve"> PAGEREF _Toc421021133 \h </w:instrText>
      </w:r>
      <w:r w:rsidR="00C42185">
        <w:fldChar w:fldCharType="separate"/>
      </w:r>
      <w:r>
        <w:t>34</w:t>
      </w:r>
      <w:r w:rsidR="00C42185">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C42185">
        <w:fldChar w:fldCharType="begin"/>
      </w:r>
      <w:r>
        <w:instrText xml:space="preserve"> PAGEREF _Toc421021134 \h </w:instrText>
      </w:r>
      <w:r w:rsidR="00C42185">
        <w:fldChar w:fldCharType="separate"/>
      </w:r>
      <w:r>
        <w:t>35</w:t>
      </w:r>
      <w:r w:rsidR="00C42185">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C42185">
        <w:rPr>
          <w:noProof/>
        </w:rPr>
        <w:fldChar w:fldCharType="begin"/>
      </w:r>
      <w:r>
        <w:rPr>
          <w:noProof/>
        </w:rPr>
        <w:instrText xml:space="preserve"> PAGEREF _Toc421021135 \h </w:instrText>
      </w:r>
      <w:r w:rsidR="00C42185">
        <w:rPr>
          <w:noProof/>
        </w:rPr>
      </w:r>
      <w:r w:rsidR="00C42185">
        <w:rPr>
          <w:noProof/>
        </w:rPr>
        <w:fldChar w:fldCharType="separate"/>
      </w:r>
      <w:r>
        <w:rPr>
          <w:noProof/>
        </w:rPr>
        <w:t>35</w:t>
      </w:r>
      <w:r w:rsidR="00C42185">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ReferÊncias</w:t>
      </w:r>
      <w:r>
        <w:tab/>
      </w:r>
      <w:r w:rsidR="00C42185">
        <w:fldChar w:fldCharType="begin"/>
      </w:r>
      <w:r>
        <w:instrText xml:space="preserve"> PAGEREF _Toc421021136 \h </w:instrText>
      </w:r>
      <w:r w:rsidR="00C42185">
        <w:fldChar w:fldCharType="separate"/>
      </w:r>
      <w:r>
        <w:t>36</w:t>
      </w:r>
      <w:r w:rsidR="00C42185">
        <w:fldChar w:fldCharType="end"/>
      </w:r>
    </w:p>
    <w:p w:rsidR="009007E5" w:rsidRDefault="009007E5">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C42185">
        <w:rPr>
          <w:noProof/>
        </w:rPr>
        <w:fldChar w:fldCharType="begin"/>
      </w:r>
      <w:r>
        <w:rPr>
          <w:noProof/>
        </w:rPr>
        <w:instrText xml:space="preserve"> PAGEREF _Toc421021137 \h </w:instrText>
      </w:r>
      <w:r w:rsidR="00C42185">
        <w:rPr>
          <w:noProof/>
        </w:rPr>
      </w:r>
      <w:r w:rsidR="00C42185">
        <w:rPr>
          <w:noProof/>
        </w:rPr>
        <w:fldChar w:fldCharType="separate"/>
      </w:r>
      <w:r>
        <w:rPr>
          <w:noProof/>
        </w:rPr>
        <w:t>38</w:t>
      </w:r>
      <w:r w:rsidR="00C42185">
        <w:rPr>
          <w:noProof/>
        </w:rPr>
        <w:fldChar w:fldCharType="end"/>
      </w:r>
    </w:p>
    <w:p w:rsidR="009007E5" w:rsidRDefault="009007E5">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C42185">
        <w:fldChar w:fldCharType="begin"/>
      </w:r>
      <w:r>
        <w:instrText xml:space="preserve"> PAGEREF _Toc421021138 \h </w:instrText>
      </w:r>
      <w:r w:rsidR="00C42185">
        <w:fldChar w:fldCharType="separate"/>
      </w:r>
      <w:r>
        <w:t>40</w:t>
      </w:r>
      <w:r w:rsidR="00C42185">
        <w:fldChar w:fldCharType="end"/>
      </w:r>
    </w:p>
    <w:p w:rsidR="00370E34" w:rsidRDefault="00C42185" w:rsidP="00861528">
      <w:pPr>
        <w:rPr>
          <w:noProof/>
        </w:rPr>
      </w:pPr>
      <w:r>
        <w:fldChar w:fldCharType="end"/>
      </w:r>
    </w:p>
    <w:p w:rsidR="00370E34" w:rsidRDefault="00370E34" w:rsidP="00DD52CB">
      <w:pPr>
        <w:pStyle w:val="Ttulo"/>
      </w:pPr>
      <w:r w:rsidRPr="00266519">
        <w:br w:type="page"/>
      </w:r>
      <w:bookmarkStart w:id="2" w:name="_Toc156754352"/>
      <w:bookmarkStart w:id="3" w:name="_Toc42102110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C42185">
      <w:pPr>
        <w:pStyle w:val="Sumrio1"/>
        <w:tabs>
          <w:tab w:val="left" w:pos="1627"/>
        </w:tabs>
        <w:rPr>
          <w:rFonts w:asciiTheme="minorHAnsi" w:eastAsiaTheme="minorEastAsia" w:hAnsiTheme="minorHAnsi" w:cstheme="minorBidi"/>
          <w:b w:val="0"/>
          <w:caps w:val="0"/>
          <w:sz w:val="22"/>
          <w:szCs w:val="22"/>
          <w:lang w:eastAsia="pt-BR"/>
        </w:rPr>
      </w:pPr>
      <w:r w:rsidRPr="00C42185">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C42185">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C42185">
        <w:fldChar w:fldCharType="begin"/>
      </w:r>
      <w:r>
        <w:instrText xml:space="preserve"> PAGEREF _Toc409611746 \h </w:instrText>
      </w:r>
      <w:r w:rsidR="00C42185">
        <w:fldChar w:fldCharType="separate"/>
      </w:r>
      <w:r>
        <w:t>28</w:t>
      </w:r>
      <w:r w:rsidR="00C42185">
        <w:fldChar w:fldCharType="end"/>
      </w:r>
    </w:p>
    <w:p w:rsidR="00370E34" w:rsidRDefault="00C42185"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2102110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2102110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C42185"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2102110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2102110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2102110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w:t>
      </w:r>
      <w:r w:rsidR="00441912">
        <w:t>autonômicas</w:t>
      </w:r>
      <w:r w:rsidR="00C76121" w:rsidRPr="00C76121">
        <w:t xml:space="preserve">, utilizando uma </w:t>
      </w:r>
      <w:r w:rsidR="00C76121" w:rsidRPr="00C76121">
        <w:lastRenderedPageBreak/>
        <w:t>FPGA 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C42185"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2102110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2102110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2102110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1</w:t>
      </w:r>
      <w:r w:rsidR="00C42185">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2</w:t>
      </w:r>
      <w:r w:rsidR="00C42185">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520333" w:rsidRDefault="00520333" w:rsidP="0074326A">
      <w:pPr>
        <w:keepNext/>
        <w:jc w:val="center"/>
      </w:pPr>
    </w:p>
    <w:p w:rsidR="00BB4547" w:rsidRDefault="00BB4547" w:rsidP="00BB4547">
      <w:pPr>
        <w:pStyle w:val="Ttulo4"/>
        <w:rPr>
          <w:i/>
        </w:rPr>
      </w:pPr>
      <w:bookmarkStart w:id="33" w:name="_Toc42102110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lastRenderedPageBreak/>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3</w:t>
      </w:r>
      <w:r w:rsidR="00C42185">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lastRenderedPageBreak/>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4</w:t>
      </w:r>
      <w:r w:rsidR="00C42185">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2102111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Default="00EC0FB5" w:rsidP="00986EDC">
      <w:pPr>
        <w:pStyle w:val="Legenda"/>
        <w:keepNext/>
        <w:jc w:val="center"/>
        <w:rPr>
          <w:sz w:val="20"/>
          <w:szCs w:val="20"/>
        </w:rPr>
      </w:pPr>
      <w:r w:rsidRPr="002D734E">
        <w:rPr>
          <w:noProof/>
          <w:sz w:val="20"/>
          <w:szCs w:val="20"/>
        </w:rPr>
        <w:lastRenderedPageBreak/>
        <w:t xml:space="preserve"> </w:t>
      </w:r>
      <w:bookmarkStart w:id="38" w:name="_Ref409611762"/>
      <w:r w:rsidR="002D734E" w:rsidRPr="002D734E">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5</w:t>
      </w:r>
      <w:r w:rsidR="00C42185">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39" w:name="_Toc42102111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21021112"/>
      <w:r>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21021113"/>
      <w:r>
        <w:lastRenderedPageBreak/>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dentre eles contadores, multiplicadores, acumuladores, simular microcontroladores, interfaces de comunicação dentre outros.</w:t>
      </w:r>
    </w:p>
    <w:p w:rsidR="00DB28EF" w:rsidRDefault="00DB28EF" w:rsidP="00E64F4E">
      <w:r>
        <w:tab/>
        <w:t xml:space="preserve">Um código para FPGA pode ser escrito basicamente por meio de Verilog, VHDL. Mas dependendo do compilador, outras linguagens são aceitas, sendo que todas elas serão convertidas em VHDL quando foram programar o dispositivo. Essa </w:t>
      </w:r>
      <w:r>
        <w:lastRenderedPageBreak/>
        <w:t>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366FDA" w:rsidRDefault="00EB308F" w:rsidP="00A06C39">
      <w:r>
        <w:tab/>
      </w:r>
    </w:p>
    <w:p w:rsidR="00F37680" w:rsidRPr="00E64F4E" w:rsidRDefault="00F37680" w:rsidP="00F37680"/>
    <w:p w:rsidR="00F37680" w:rsidRPr="00E64F4E" w:rsidRDefault="00F37680" w:rsidP="00F37680">
      <w:pPr>
        <w:sectPr w:rsidR="00F37680" w:rsidRPr="00E64F4E" w:rsidSect="008B07EE">
          <w:headerReference w:type="even" r:id="rId28"/>
          <w:headerReference w:type="default" r:id="rId29"/>
          <w:footerReference w:type="even" r:id="rId30"/>
          <w:footerReference w:type="default" r:id="rId31"/>
          <w:headerReference w:type="first" r:id="rId32"/>
          <w:footerReference w:type="first" r:id="rId33"/>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2" w:name="_Toc121491442"/>
      <w:bookmarkStart w:id="43" w:name="_Toc124080448"/>
      <w:bookmarkStart w:id="44" w:name="_Ref125306914"/>
      <w:bookmarkStart w:id="45" w:name="_Ref125306916"/>
      <w:bookmarkStart w:id="46" w:name="_Toc125374514"/>
      <w:bookmarkStart w:id="47" w:name="_Toc156754362"/>
      <w:bookmarkStart w:id="48" w:name="_Toc421021114"/>
      <w:r>
        <w:lastRenderedPageBreak/>
        <w:t>Material e Método</w:t>
      </w:r>
      <w:bookmarkEnd w:id="42"/>
      <w:bookmarkEnd w:id="43"/>
      <w:bookmarkEnd w:id="44"/>
      <w:bookmarkEnd w:id="45"/>
      <w:bookmarkEnd w:id="46"/>
      <w:bookmarkEnd w:id="47"/>
      <w:bookmarkEnd w:id="48"/>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9" w:name="_Toc421021115"/>
      <w:r w:rsidR="009E6896">
        <w:t>HARDWARE Desenvolvido</w:t>
      </w:r>
      <w:bookmarkEnd w:id="49"/>
    </w:p>
    <w:p w:rsidR="00F902C9" w:rsidRDefault="00370E34" w:rsidP="00E4798F">
      <w:r w:rsidRPr="004B1208">
        <w:tab/>
      </w:r>
      <w:r w:rsidR="00F902C9" w:rsidRPr="00F902C9">
        <w:t xml:space="preserve">O analisador de neuropatia </w:t>
      </w:r>
      <w:r w:rsidR="00441912">
        <w:t>autonômica</w:t>
      </w:r>
      <w:r w:rsidR="00F902C9" w:rsidRPr="00F902C9">
        <w:t xml:space="preserve">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6</w:t>
      </w:r>
      <w:r w:rsidR="00C42185">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lastRenderedPageBreak/>
        <w:tab/>
      </w:r>
      <w:r w:rsidR="00E4798F" w:rsidRPr="00E4798F">
        <w:t xml:space="preserve">A </w:t>
      </w:r>
      <w:fldSimple w:instr=" REF _Ref409436597 \h  \* MERGEFORMAT ">
        <w:r w:rsidR="00A06C39" w:rsidRPr="00A06C39">
          <w:t xml:space="preserve">Figura </w:t>
        </w:r>
        <w:r w:rsidR="00A06C39" w:rsidRPr="00A06C39">
          <w:rPr>
            <w:noProof/>
          </w:rPr>
          <w:t>7</w:t>
        </w:r>
      </w:fldSimple>
      <w:r w:rsidR="00E4798F">
        <w:t xml:space="preserve"> </w:t>
      </w:r>
      <w:r w:rsidR="00E4798F" w:rsidRPr="00E4798F">
        <w:t>apresenta o sistema de excitação de uma das mãos. A impedância será medida baseada na corrente que passa entre os membros. Essa 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0" w:name="_Ref409436597"/>
      <w:r w:rsidRPr="00E4798F">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7</w:t>
      </w:r>
      <w:r w:rsidR="00C42185">
        <w:rPr>
          <w:sz w:val="20"/>
          <w:szCs w:val="20"/>
        </w:rPr>
        <w:fldChar w:fldCharType="end"/>
      </w:r>
      <w:bookmarkEnd w:id="50"/>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A06C39" w:rsidRPr="00A06C39">
          <w:t xml:space="preserve">Figura </w:t>
        </w:r>
        <w:r w:rsidR="00A06C39" w:rsidRPr="00A06C39">
          <w:rPr>
            <w:noProof/>
          </w:rPr>
          <w:t>8</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1" w:name="_Ref409437008"/>
      <w:r w:rsidRPr="00F902C9">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8</w:t>
      </w:r>
      <w:r w:rsidR="00C42185">
        <w:rPr>
          <w:sz w:val="20"/>
          <w:szCs w:val="20"/>
        </w:rPr>
        <w:fldChar w:fldCharType="end"/>
      </w:r>
      <w:bookmarkEnd w:id="51"/>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resistências de contato entre os eletrodos e os pés. Rt é a 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2" w:name="_Toc421021116"/>
      <w:r w:rsidRPr="00520333">
        <w:rPr>
          <w:sz w:val="20"/>
          <w:szCs w:val="20"/>
        </w:rPr>
        <w:t>F</w:t>
      </w:r>
      <w:r>
        <w:rPr>
          <w:sz w:val="20"/>
          <w:szCs w:val="20"/>
        </w:rPr>
        <w:t>onte</w:t>
      </w:r>
      <w:r w:rsidRPr="00520333">
        <w:rPr>
          <w:sz w:val="20"/>
          <w:szCs w:val="20"/>
        </w:rPr>
        <w:t>: Próprio autor</w:t>
      </w:r>
    </w:p>
    <w:p w:rsidR="009007E5" w:rsidRDefault="009007E5" w:rsidP="009007E5">
      <w:pPr>
        <w:pStyle w:val="Ttulo3"/>
        <w:rPr>
          <w:b/>
        </w:rPr>
      </w:pPr>
      <w:r>
        <w:rPr>
          <w:b/>
        </w:rPr>
        <w:t>Algoritmo de Goertzel</w:t>
      </w:r>
      <w:bookmarkEnd w:id="52"/>
    </w:p>
    <w:p w:rsidR="00621F76" w:rsidRDefault="009007E5" w:rsidP="009007E5">
      <w:pPr>
        <w:pStyle w:val="NormalWeb"/>
        <w:ind w:firstLine="284"/>
        <w:rPr>
          <w:rFonts w:ascii="Arial" w:hAnsi="Arial" w:cs="Arial"/>
        </w:rPr>
      </w:pPr>
      <w:r w:rsidRPr="00B4186C">
        <w:rPr>
          <w:rFonts w:ascii="Arial" w:hAnsi="Arial" w:cs="Arial"/>
        </w:rPr>
        <w:t xml:space="preserve">O algoritmo de Goertzel </w:t>
      </w:r>
      <w:r>
        <w:rPr>
          <w:rFonts w:ascii="Arial" w:hAnsi="Arial" w:cs="Arial"/>
        </w:rPr>
        <w:t>é uma forma simplificada da transformada de fourier, calculando o apenas uma componente expecífica no espectro de modo recursivo seguindo a equação (</w:t>
      </w:r>
      <w:r w:rsidR="00621F76">
        <w:rPr>
          <w:rFonts w:ascii="Arial" w:hAnsi="Arial" w:cs="Arial"/>
        </w:rPr>
        <w:t>2</w:t>
      </w:r>
      <w:r>
        <w:rPr>
          <w:rFonts w:ascii="Arial" w:hAnsi="Arial" w:cs="Arial"/>
        </w:rPr>
        <w:t>)</w:t>
      </w:r>
      <w:r w:rsidR="00621F76">
        <w:rPr>
          <w:rFonts w:ascii="Arial" w:hAnsi="Arial" w:cs="Arial"/>
        </w:rPr>
        <w:t xml:space="preserve"> com base na equação (1)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C42185"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C42185"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9007E5" w:rsidP="009007E5">
      <w:pPr>
        <w:pStyle w:val="TextosemFormatao"/>
        <w:ind w:firstLine="284"/>
        <w:rPr>
          <w:rFonts w:ascii="Arial" w:hAnsi="Arial" w:cs="Arial"/>
          <w:bCs/>
          <w:iCs/>
          <w:sz w:val="24"/>
          <w:szCs w:val="24"/>
        </w:rPr>
      </w:pPr>
      <w:r w:rsidRPr="00B4186C">
        <w:rPr>
          <w:rFonts w:ascii="Arial" w:hAnsi="Arial" w:cs="Arial"/>
          <w:bCs/>
          <w:iCs/>
          <w:sz w:val="24"/>
          <w:szCs w:val="24"/>
        </w:rPr>
        <w:lastRenderedPageBreak/>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Pr="00B4186C">
        <w:rPr>
          <w:rFonts w:ascii="Arial" w:hAnsi="Arial" w:cs="Arial"/>
          <w:bCs/>
          <w:iCs/>
          <w:sz w:val="24"/>
          <w:szCs w:val="24"/>
        </w:rPr>
        <w:t>FT</w:t>
      </w:r>
      <w:r w:rsidR="00CE19F4">
        <w:rPr>
          <w:rFonts w:ascii="Arial" w:hAnsi="Arial" w:cs="Arial"/>
          <w:bCs/>
          <w:iCs/>
          <w:sz w:val="24"/>
          <w:szCs w:val="24"/>
        </w:rPr>
        <w:t>)</w:t>
      </w:r>
      <w:r w:rsidRPr="00B4186C">
        <w:rPr>
          <w:rFonts w:ascii="Arial" w:hAnsi="Arial" w:cs="Arial"/>
          <w:bCs/>
          <w:iCs/>
          <w:sz w:val="24"/>
          <w:szCs w:val="24"/>
        </w:rPr>
        <w:t>, já que a calcula para uma única frequência</w:t>
      </w:r>
      <w:r>
        <w:rPr>
          <w:rFonts w:ascii="Arial" w:hAnsi="Arial" w:cs="Arial"/>
          <w:bCs/>
          <w:iCs/>
          <w:sz w:val="24"/>
          <w:szCs w:val="24"/>
        </w:rPr>
        <w:t xml:space="preserve">. Essa técnica é relevante para o problema em questão pois as frequências injetadas são conhecidas, proporcionando que apenas esses resultados sejam salvos na FPGA em vez de um </w:t>
      </w:r>
      <w:r w:rsidR="00CE19F4">
        <w:rPr>
          <w:rFonts w:ascii="Arial" w:hAnsi="Arial" w:cs="Arial"/>
          <w:bCs/>
          <w:iCs/>
          <w:sz w:val="24"/>
          <w:szCs w:val="24"/>
        </w:rPr>
        <w:t xml:space="preserve">grande </w:t>
      </w:r>
      <w:r>
        <w:rPr>
          <w:rFonts w:ascii="Arial" w:hAnsi="Arial" w:cs="Arial"/>
          <w:bCs/>
          <w:iCs/>
          <w:sz w:val="24"/>
          <w:szCs w:val="24"/>
        </w:rPr>
        <w:t>vetor de dados.</w:t>
      </w:r>
    </w:p>
    <w:p w:rsidR="0081154C" w:rsidRDefault="00370E34" w:rsidP="0081154C">
      <w:pPr>
        <w:pStyle w:val="Ttulo3"/>
        <w:rPr>
          <w:b/>
        </w:rPr>
      </w:pPr>
      <w:r w:rsidRPr="009E6896">
        <w:rPr>
          <w:b/>
        </w:rPr>
        <w:t xml:space="preserve"> </w:t>
      </w:r>
      <w:bookmarkStart w:id="53" w:name="_Toc421021117"/>
      <w:r w:rsidR="0081154C">
        <w:rPr>
          <w:b/>
        </w:rPr>
        <w:t>A</w:t>
      </w:r>
      <w:r w:rsidR="009E6896" w:rsidRPr="009E6896">
        <w:rPr>
          <w:b/>
        </w:rPr>
        <w:t>plificação dos sinais</w:t>
      </w:r>
      <w:bookmarkEnd w:id="53"/>
    </w:p>
    <w:p w:rsidR="0081154C" w:rsidRDefault="0081154C" w:rsidP="0081154C">
      <w:r>
        <w:t xml:space="preserve"> </w:t>
      </w:r>
      <w:r>
        <w:tab/>
        <w:t xml:space="preserve">O sinal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CD22FB" w:rsidRPr="00CD22FB" w:rsidRDefault="00CD22FB" w:rsidP="0081154C">
      <w:r>
        <w:tab/>
        <w:t xml:space="preserve">A </w:t>
      </w:r>
      <w:fldSimple w:instr=" REF _Ref421017130 \h  \* MERGEFORMAT ">
        <w:r w:rsidRPr="00CD22FB">
          <w:t xml:space="preserve">figura </w:t>
        </w:r>
        <w:r w:rsidRPr="00CD22FB">
          <w:rPr>
            <w:noProof/>
          </w:rPr>
          <w:t>9</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apresenta poucos pontos abaixo de 20Khz, onde h</w:t>
      </w:r>
      <w:r w:rsidR="00B4186C">
        <w:t>á pouca</w:t>
      </w:r>
      <w:r w:rsidR="00A96C59">
        <w:t xml:space="preserve"> variação do módulo da bioimpedância  e muitos pontos na região de inflexão da curva, entre 20Khz e 2Mhz.</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54" w:name="_Ref421017130"/>
      <w:r w:rsidRPr="00CD22FB">
        <w:rPr>
          <w:sz w:val="20"/>
          <w:szCs w:val="20"/>
        </w:rPr>
        <w:lastRenderedPageBreak/>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9</w:t>
      </w:r>
      <w:r w:rsidR="00C42185">
        <w:rPr>
          <w:sz w:val="20"/>
          <w:szCs w:val="20"/>
        </w:rPr>
        <w:fldChar w:fldCharType="end"/>
      </w:r>
      <w:r w:rsidRPr="00CD22FB">
        <w:rPr>
          <w:sz w:val="20"/>
          <w:szCs w:val="20"/>
        </w:rPr>
        <w:t xml:space="preserve"> - análise frequêncial</w:t>
      </w:r>
      <w:bookmarkEnd w:id="54"/>
      <w:r>
        <w:rPr>
          <w:sz w:val="20"/>
          <w:szCs w:val="20"/>
        </w:rPr>
        <w:t xml:space="preserve"> [</w:t>
      </w:r>
      <w:r w:rsidR="00A96C59">
        <w:rPr>
          <w:sz w:val="20"/>
          <w:szCs w:val="20"/>
        </w:rPr>
        <w:t xml:space="preserve">14 </w:t>
      </w:r>
      <w:r>
        <w:rPr>
          <w:sz w:val="20"/>
          <w:szCs w:val="20"/>
        </w:rPr>
        <w:t>Gieseler, 2013]</w:t>
      </w:r>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5" w:name="_Toc421021118"/>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r w:rsidRPr="009E6896">
        <w:rPr>
          <w:b/>
        </w:rPr>
        <w:t>Conversores AD-DA</w:t>
      </w:r>
      <w:bookmarkEnd w:id="55"/>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passa-baixas anti-aliasing em 3Mhz, uma vez que a frequência máxima que se deseja injetar é de 1Mhz.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Default="009E6896" w:rsidP="009E6896">
      <w:pPr>
        <w:pStyle w:val="Ttulo3"/>
        <w:rPr>
          <w:b/>
        </w:rPr>
      </w:pPr>
      <w:bookmarkStart w:id="56" w:name="_Toc421021119"/>
      <w:r w:rsidRPr="009E6896">
        <w:rPr>
          <w:b/>
        </w:rPr>
        <w:t>Alimentação</w:t>
      </w:r>
      <w:bookmarkEnd w:id="56"/>
    </w:p>
    <w:p w:rsidR="00AE7DEB" w:rsidRDefault="00AE7DEB" w:rsidP="00AE7DEB">
      <w:pPr>
        <w:rPr>
          <w:rFonts w:cs="Arial"/>
        </w:rPr>
      </w:pPr>
      <w:r>
        <w:t xml:space="preserve"> A alimentação do Controle Automático de Ganho</w:t>
      </w:r>
      <w:r w:rsidR="00674B68">
        <w:t xml:space="preserve"> e os filtros é de</w:t>
      </w:r>
      <w:r>
        <w:t xml:space="preserve"> </w:t>
      </w:r>
      <w:r w:rsidR="00E02258">
        <w:rPr>
          <w:rFonts w:cs="Arial"/>
        </w:rPr>
        <w:t>±</w:t>
      </w:r>
      <w:r w:rsidR="00674B68">
        <w:rPr>
          <w:rFonts w:cs="Arial"/>
        </w:rPr>
        <w:t>5,0V, a tensão dos conversores AD e DA é de +3,3V</w:t>
      </w:r>
      <w:r w:rsidR="00BF6B3F">
        <w:rPr>
          <w:rFonts w:cs="Arial"/>
        </w:rPr>
        <w:t xml:space="preserve"> e eles ainda precisam de tensões de referências de +2,5V para o AD e +1,0</w:t>
      </w:r>
      <w:r w:rsidR="00765926">
        <w:rPr>
          <w:rFonts w:cs="Arial"/>
        </w:rPr>
        <w:t>V</w:t>
      </w:r>
      <w:r w:rsidR="00BF6B3F">
        <w:rPr>
          <w:rFonts w:cs="Arial"/>
        </w:rPr>
        <w:t xml:space="preserve"> para o DA.</w:t>
      </w:r>
    </w:p>
    <w:p w:rsidR="00BF6B3F" w:rsidRPr="00AE7DEB" w:rsidRDefault="00BF6B3F" w:rsidP="00AE7DEB">
      <w:r>
        <w:rPr>
          <w:rFonts w:cs="Arial"/>
        </w:rPr>
        <w:t xml:space="preserve">A alimentação principal será feita por meio de duas baterias de 9V ligadas em série para geral uma refêrencia de terra. </w:t>
      </w:r>
      <w:r w:rsidR="00AC78B3">
        <w:rPr>
          <w:rFonts w:cs="Arial"/>
        </w:rPr>
        <w:t>A</w:t>
      </w:r>
      <w:r>
        <w:rPr>
          <w:rFonts w:cs="Arial"/>
        </w:rPr>
        <w:t xml:space="preserve">s tensões de ±5,0V e +3,3V serão geradas por reguladores de tensão 7805, 7905 e 78r33. </w:t>
      </w:r>
      <w:r w:rsidR="00083ABA">
        <w:rPr>
          <w:rFonts w:cs="Arial"/>
        </w:rPr>
        <w:t xml:space="preserve">Divisores resistivos com amplificadores em configuração de buffer </w:t>
      </w:r>
      <w:r w:rsidR="00AC78B3">
        <w:rPr>
          <w:rFonts w:cs="Arial"/>
        </w:rPr>
        <w:t>serão</w:t>
      </w:r>
      <w:r w:rsidR="00083ABA">
        <w:rPr>
          <w:rFonts w:cs="Arial"/>
        </w:rPr>
        <w:t xml:space="preserve"> usados para gerar as tensões de referência.</w:t>
      </w:r>
    </w:p>
    <w:p w:rsidR="009E6896" w:rsidRPr="009E6896" w:rsidRDefault="009E6896" w:rsidP="009E6896">
      <w:pPr>
        <w:pStyle w:val="Ttulo3"/>
        <w:rPr>
          <w:b/>
        </w:rPr>
      </w:pPr>
      <w:bookmarkStart w:id="57" w:name="_Toc421021120"/>
      <w:r w:rsidRPr="009E6896">
        <w:rPr>
          <w:b/>
        </w:rPr>
        <w:lastRenderedPageBreak/>
        <w:t>Estrutural</w:t>
      </w:r>
      <w:bookmarkEnd w:id="57"/>
    </w:p>
    <w:p w:rsidR="009E6896" w:rsidRDefault="009E6896" w:rsidP="009E6896">
      <w:pPr>
        <w:pStyle w:val="Ttulo2"/>
      </w:pPr>
      <w:bookmarkStart w:id="58" w:name="_Toc421021121"/>
      <w:r>
        <w:t>unidade de processamento</w:t>
      </w:r>
      <w:bookmarkEnd w:id="58"/>
    </w:p>
    <w:p w:rsidR="00A06C39" w:rsidRDefault="00A06C39" w:rsidP="00A06C39">
      <w:r>
        <w:t>O kit de desenvolvimento utilizado por ser visto na</w:t>
      </w:r>
      <w:r w:rsidRPr="00A06C39">
        <w:t xml:space="preserve"> </w:t>
      </w:r>
      <w:fldSimple w:instr=" REF _Ref409535035 \h  \* MERGEFORMAT ">
        <w:r w:rsidRPr="00A06C39">
          <w:t xml:space="preserve">Figura </w:t>
        </w:r>
        <w:r w:rsidRPr="00A06C39">
          <w:rPr>
            <w:noProof/>
          </w:rPr>
          <w:t>9</w:t>
        </w:r>
      </w:fldSimple>
      <w:r w:rsidRPr="00A06C39">
        <w:t xml:space="preserve"> </w:t>
      </w:r>
      <w:r>
        <w:t>é foi fornecido pela Altera</w:t>
      </w:r>
      <w:r w:rsidRPr="00EB308F">
        <w:t>®</w:t>
      </w:r>
      <w:r>
        <w:t>. Ela possui comunicação USB 2.0 para comunicação com o computador para interface e dois barramentos para controle do conversor AD, DA e do controle automático de ganho.</w:t>
      </w:r>
    </w:p>
    <w:p w:rsidR="00A06C39" w:rsidRDefault="00A06C39" w:rsidP="00A06C39"/>
    <w:p w:rsidR="00A06C39" w:rsidRPr="00EB308F" w:rsidRDefault="00A06C39" w:rsidP="00A06C39">
      <w:pPr>
        <w:pStyle w:val="Legenda"/>
        <w:keepNext/>
        <w:jc w:val="center"/>
        <w:rPr>
          <w:sz w:val="20"/>
          <w:szCs w:val="20"/>
        </w:rPr>
      </w:pPr>
      <w:bookmarkStart w:id="59" w:name="_Ref409535035"/>
      <w:r w:rsidRPr="00EB308F">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10</w:t>
      </w:r>
      <w:r w:rsidR="00C42185">
        <w:rPr>
          <w:sz w:val="20"/>
          <w:szCs w:val="20"/>
        </w:rPr>
        <w:fldChar w:fldCharType="end"/>
      </w:r>
      <w:bookmarkEnd w:id="59"/>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3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A06C39" w:rsidP="00A06C39"/>
    <w:p w:rsidR="009E6896" w:rsidRDefault="009E6896" w:rsidP="00A06C39">
      <w:pPr>
        <w:pStyle w:val="Ttulo2"/>
      </w:pPr>
      <w:bookmarkStart w:id="60" w:name="_Toc421021122"/>
      <w:r>
        <w:t>Processamento dos sinais</w:t>
      </w:r>
      <w:bookmarkEnd w:id="60"/>
    </w:p>
    <w:p w:rsidR="009E6896" w:rsidRDefault="009E6896" w:rsidP="009E6896">
      <w:pPr>
        <w:pStyle w:val="Ttulo2"/>
      </w:pPr>
      <w:bookmarkStart w:id="61" w:name="_Toc421021123"/>
      <w:r>
        <w:t>testes de funcionamento e validação</w:t>
      </w:r>
      <w:bookmarkEnd w:id="61"/>
    </w:p>
    <w:p w:rsidR="00370E34" w:rsidRDefault="009E6896" w:rsidP="00CC16C5">
      <w:pPr>
        <w:pStyle w:val="Ttulo2"/>
      </w:pPr>
      <w:bookmarkStart w:id="62" w:name="_Toc421021124"/>
      <w:r>
        <w:t>comitê de ética e coléta de dados</w:t>
      </w:r>
      <w:bookmarkEnd w:id="62"/>
    </w:p>
    <w:p w:rsidR="00834EF3" w:rsidRDefault="00834EF3" w:rsidP="00834EF3"/>
    <w:p w:rsidR="00834EF3" w:rsidRDefault="000723CE" w:rsidP="00834EF3">
      <w:r>
        <w:t>A validação da metodologia s</w:t>
      </w:r>
      <w:r w:rsidR="000A6B83">
        <w:t>e</w:t>
      </w:r>
      <w:r>
        <w:t xml:space="preserve">rá realizada a partir de </w:t>
      </w:r>
      <w:r w:rsidR="00F812D7">
        <w:t>medições</w:t>
      </w:r>
      <w:r>
        <w:t xml:space="preserve"> com pacientes portadores de diabetes, diabetes e neuropatias ou saudáveis</w:t>
      </w:r>
      <w:r w:rsidR="000A6B83">
        <w:t>, analisando os efeitos na deficiência de sudorese causadas por cada um deles</w:t>
      </w:r>
      <w:r>
        <w:t>.</w:t>
      </w:r>
      <w:r w:rsidR="000A6B83">
        <w:t xml:space="preserve"> Para analisar de forma </w:t>
      </w:r>
      <w:r w:rsidR="000A6B83">
        <w:lastRenderedPageBreak/>
        <w:t xml:space="preserve">fidedigna os efeitos causados pelas neuropatias, </w:t>
      </w:r>
      <w:r w:rsidR="001A2751">
        <w:t>foi</w:t>
      </w:r>
      <w:r w:rsidR="000A6B83">
        <w:t xml:space="preserve"> escolhid</w:t>
      </w:r>
      <w:r w:rsidR="001A2751">
        <w:t>a</w:t>
      </w:r>
      <w:r w:rsidR="000A6B83">
        <w:t xml:space="preserve"> uma faixa etária de </w:t>
      </w:r>
      <w:r w:rsidR="00834EF3">
        <w:t>20-</w:t>
      </w:r>
      <w:r w:rsidR="000A6B83">
        <w:t>50 anos, com pessoas de ambos os sexos</w:t>
      </w:r>
      <w:r w:rsidR="001A2751">
        <w:t>, uma vez que não há diferença considerável na sudorese entre gêneros e ocorre variação típica faixa de idade[14].</w:t>
      </w:r>
    </w:p>
    <w:p w:rsidR="002127BC" w:rsidRDefault="002127BC" w:rsidP="00834EF3">
      <w:r>
        <w:t xml:space="preserve">Devido </w:t>
      </w:r>
      <w:r w:rsidR="00C121E4">
        <w:t xml:space="preserve">a </w:t>
      </w:r>
      <w:r>
        <w:t xml:space="preserve">diferença de </w:t>
      </w:r>
      <w:r w:rsidR="00C121E4">
        <w:t xml:space="preserve">potencial de apenas 4,0 Volts aplicado entre os membros, o sistema oferece risco mínimo aos pacientes. </w:t>
      </w:r>
    </w:p>
    <w:p w:rsidR="00370E34" w:rsidRDefault="00370E34" w:rsidP="00151454">
      <w:r>
        <w:tab/>
      </w:r>
      <w:r>
        <w:tab/>
      </w:r>
    </w:p>
    <w:p w:rsidR="00370E34" w:rsidRDefault="00F85C85" w:rsidP="00CC16C5">
      <w:pPr>
        <w:pStyle w:val="Ttulo2"/>
      </w:pPr>
      <w:bookmarkStart w:id="63" w:name="_Toc421021125"/>
      <w:r>
        <w:t>ANÁLISE</w:t>
      </w:r>
      <w:r w:rsidR="00370E34">
        <w:t xml:space="preserve"> estatística</w:t>
      </w:r>
      <w:bookmarkEnd w:id="63"/>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4" w:name="_Ref125306944"/>
      <w:bookmarkStart w:id="65" w:name="_Ref125306948"/>
      <w:bookmarkStart w:id="66" w:name="_Toc125374518"/>
      <w:bookmarkStart w:id="67" w:name="_Toc156754391"/>
      <w:bookmarkStart w:id="68" w:name="_Toc421021126"/>
      <w:r w:rsidRPr="002E7274">
        <w:rPr>
          <w:color w:val="000000"/>
        </w:rPr>
        <w:lastRenderedPageBreak/>
        <w:t>RESULTADOS</w:t>
      </w:r>
      <w:bookmarkEnd w:id="64"/>
      <w:bookmarkEnd w:id="65"/>
      <w:bookmarkEnd w:id="66"/>
      <w:bookmarkEnd w:id="67"/>
      <w:bookmarkEnd w:id="68"/>
    </w:p>
    <w:p w:rsidR="009E6896" w:rsidRDefault="003B66E0" w:rsidP="009E6896">
      <w:pPr>
        <w:pStyle w:val="Ttulo2"/>
      </w:pPr>
      <w:bookmarkStart w:id="69" w:name="_Toc421021127"/>
      <w:r>
        <w:t>hardware</w:t>
      </w:r>
      <w:bookmarkEnd w:id="69"/>
    </w:p>
    <w:p w:rsidR="003B66E0" w:rsidRDefault="00A06C39" w:rsidP="003B66E0">
      <w:pPr>
        <w:pStyle w:val="Ttulo3"/>
        <w:rPr>
          <w:b/>
        </w:rPr>
      </w:pPr>
      <w:bookmarkStart w:id="70" w:name="_Toc421021128"/>
      <w:r>
        <w:rPr>
          <w:b/>
        </w:rPr>
        <w:t>Controle automático de ganho</w:t>
      </w:r>
      <w:bookmarkEnd w:id="70"/>
    </w:p>
    <w:p w:rsidR="00A06C39" w:rsidRDefault="00AF3AC4" w:rsidP="00A06C39">
      <w:r>
        <w:tab/>
      </w:r>
      <w:r w:rsidR="00A06C39">
        <w:t xml:space="preserve">O controle de ganho será </w:t>
      </w:r>
      <w:r>
        <w:t>utilizado para garantir que a tensão lida pelo conversor AD, e que será enviada para a FPGA,sejá da ordem esperada. A amplificação será feita por três amp</w:t>
      </w:r>
      <w:r w:rsidR="00661776">
        <w:t>ops em configuração de amplificador de  instrumentaçãor. Para o controle de ganho será utilizado um multiplexador com diferentes resistores escolhidos por meio de três sinais oriundos da FPGA.</w:t>
      </w:r>
    </w:p>
    <w:p w:rsidR="006B4CB7" w:rsidRDefault="006B4CB7" w:rsidP="00A06C39"/>
    <w:p w:rsidR="006B4CB7" w:rsidRPr="006B4CB7" w:rsidRDefault="006B4CB7" w:rsidP="006B4CB7">
      <w:pPr>
        <w:pStyle w:val="Legenda"/>
        <w:keepNext/>
        <w:jc w:val="center"/>
        <w:rPr>
          <w:sz w:val="20"/>
          <w:szCs w:val="20"/>
        </w:rPr>
      </w:pPr>
      <w:r w:rsidRPr="006B4CB7">
        <w:rPr>
          <w:sz w:val="20"/>
          <w:szCs w:val="20"/>
        </w:rPr>
        <w:t xml:space="preserve">Figura </w:t>
      </w:r>
      <w:r w:rsidR="00C42185">
        <w:rPr>
          <w:sz w:val="20"/>
          <w:szCs w:val="20"/>
        </w:rPr>
        <w:fldChar w:fldCharType="begin"/>
      </w:r>
      <w:r w:rsidR="00642D61">
        <w:rPr>
          <w:sz w:val="20"/>
          <w:szCs w:val="20"/>
        </w:rPr>
        <w:instrText xml:space="preserve"> SEQ Figura \* ARABIC </w:instrText>
      </w:r>
      <w:r w:rsidR="00C42185">
        <w:rPr>
          <w:sz w:val="20"/>
          <w:szCs w:val="20"/>
        </w:rPr>
        <w:fldChar w:fldCharType="separate"/>
      </w:r>
      <w:r w:rsidR="00642D61">
        <w:rPr>
          <w:noProof/>
          <w:sz w:val="20"/>
          <w:szCs w:val="20"/>
        </w:rPr>
        <w:t>11</w:t>
      </w:r>
      <w:r w:rsidR="00C42185">
        <w:rPr>
          <w:sz w:val="20"/>
          <w:szCs w:val="20"/>
        </w:rPr>
        <w:fldChar w:fldCharType="end"/>
      </w:r>
      <w:r w:rsidRPr="006B4CB7">
        <w:rPr>
          <w:sz w:val="20"/>
          <w:szCs w:val="20"/>
        </w:rPr>
        <w:t xml:space="preserve"> - Controle automático </w:t>
      </w:r>
      <w:r w:rsidR="00954A11">
        <w:rPr>
          <w:sz w:val="20"/>
          <w:szCs w:val="20"/>
        </w:rPr>
        <w:t>d</w:t>
      </w:r>
      <w:r w:rsidRPr="006B4CB7">
        <w:rPr>
          <w:sz w:val="20"/>
          <w:szCs w:val="20"/>
        </w:rPr>
        <w:t>e ganho</w:t>
      </w:r>
    </w:p>
    <w:p w:rsidR="006B4CB7" w:rsidRDefault="00532380" w:rsidP="006B4CB7">
      <w:pPr>
        <w:jc w:val="center"/>
      </w:pPr>
      <w:r>
        <w:rPr>
          <w:noProof/>
          <w:lang w:eastAsia="pt-BR"/>
        </w:rPr>
        <w:drawing>
          <wp:inline distT="0" distB="0" distL="0" distR="0">
            <wp:extent cx="4061460" cy="3099435"/>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6B4CB7" w:rsidRDefault="006B4CB7" w:rsidP="006B4CB7">
      <w:pPr>
        <w:jc w:val="center"/>
      </w:pPr>
    </w:p>
    <w:p w:rsidR="00A06C39" w:rsidRDefault="003B6AD1" w:rsidP="00492B09">
      <w:pPr>
        <w:jc w:val="left"/>
      </w:pPr>
      <w:r>
        <w:tab/>
        <w:t>Os resistores R1 a R8 serão resistores para controle do ganho de aproximadamente 1 at</w:t>
      </w:r>
      <w:r w:rsidR="00492B09">
        <w:t>é 25.</w:t>
      </w:r>
      <w:r w:rsidR="00DC0702">
        <w:t xml:space="preserve"> O multiplexador 4051 foi usado pois possui uma resistência das portas lógicas de</w:t>
      </w:r>
      <w:r w:rsidR="00154E3A">
        <w:t xml:space="preserve"> apenas</w:t>
      </w:r>
      <w:r w:rsidR="00DC0702">
        <w:t xml:space="preserve"> 200</w:t>
      </w:r>
      <w:r w:rsidR="00DC0702">
        <w:rPr>
          <w:rFonts w:cs="Arial"/>
        </w:rPr>
        <w:t>Ω</w:t>
      </w:r>
      <w:r w:rsidR="00DC0702">
        <w:t xml:space="preserve"> e alimentação dual. </w:t>
      </w:r>
    </w:p>
    <w:p w:rsidR="00642D61" w:rsidRDefault="00642D61" w:rsidP="00642D61">
      <w:pPr>
        <w:pStyle w:val="Ttulo3"/>
        <w:rPr>
          <w:b/>
        </w:rPr>
      </w:pPr>
      <w:r>
        <w:rPr>
          <w:b/>
        </w:rPr>
        <w:lastRenderedPageBreak/>
        <w:t>Filtragem</w:t>
      </w:r>
    </w:p>
    <w:p w:rsidR="00642D61" w:rsidRDefault="00642D61" w:rsidP="00642D61">
      <w:r>
        <w:tab/>
        <w:t>O sinal injetado pela FPGA e convertido pelo conversor DA passará por um filtro e 3Mhz como mostra a</w:t>
      </w:r>
      <w:r w:rsidR="00616A76">
        <w:t xml:space="preserve"> </w:t>
      </w:r>
      <w:r w:rsidR="00C42185">
        <w:fldChar w:fldCharType="begin"/>
      </w:r>
      <w:r w:rsidR="00616A76">
        <w:instrText xml:space="preserve"> REF _Ref421538818 \h </w:instrText>
      </w:r>
      <w:r w:rsidR="00C42185">
        <w:fldChar w:fldCharType="separate"/>
      </w:r>
      <w:r w:rsidR="00616A76">
        <w:t xml:space="preserve">figura </w:t>
      </w:r>
      <w:r w:rsidR="00616A76">
        <w:rPr>
          <w:noProof/>
        </w:rPr>
        <w:t>12</w:t>
      </w:r>
      <w:r w:rsidR="00C42185">
        <w:fldChar w:fldCharType="end"/>
      </w:r>
      <w:r w:rsidR="00616A76">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616A76" w:rsidRDefault="00616A76" w:rsidP="00642D61"/>
    <w:p w:rsidR="00642D61" w:rsidRDefault="00642D61" w:rsidP="00642D61">
      <w:pPr>
        <w:pStyle w:val="Legenda"/>
        <w:keepNext/>
        <w:jc w:val="center"/>
      </w:pPr>
      <w:bookmarkStart w:id="71" w:name="_Ref421538818"/>
      <w:r>
        <w:t xml:space="preserve">Figura </w:t>
      </w:r>
      <w:fldSimple w:instr=" SEQ Figura \* ARABIC ">
        <w:r>
          <w:rPr>
            <w:noProof/>
          </w:rPr>
          <w:t>12</w:t>
        </w:r>
      </w:fldSimple>
      <w:r>
        <w:t xml:space="preserve"> - FIltro passa-baixas</w:t>
      </w:r>
      <w:bookmarkEnd w:id="71"/>
    </w:p>
    <w:p w:rsidR="00642D61" w:rsidRDefault="00642D61" w:rsidP="00642D61">
      <w:pPr>
        <w:jc w:val="center"/>
      </w:pPr>
      <w:r>
        <w:rPr>
          <w:noProof/>
          <w:lang w:eastAsia="pt-BR"/>
        </w:rPr>
        <w:drawing>
          <wp:inline distT="0" distB="0" distL="0" distR="0">
            <wp:extent cx="5082540" cy="3040380"/>
            <wp:effectExtent l="19050" t="0" r="381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642D61" w:rsidRPr="00520333" w:rsidRDefault="00642D61" w:rsidP="00642D61">
      <w:pPr>
        <w:jc w:val="center"/>
        <w:rPr>
          <w:sz w:val="20"/>
          <w:szCs w:val="20"/>
        </w:rPr>
      </w:pPr>
      <w:r w:rsidRPr="00520333">
        <w:rPr>
          <w:sz w:val="20"/>
          <w:szCs w:val="20"/>
        </w:rPr>
        <w:t>F</w:t>
      </w:r>
      <w:r>
        <w:rPr>
          <w:sz w:val="20"/>
          <w:szCs w:val="20"/>
        </w:rPr>
        <w:t>onte</w:t>
      </w:r>
      <w:r w:rsidRPr="00520333">
        <w:rPr>
          <w:sz w:val="20"/>
          <w:szCs w:val="20"/>
        </w:rPr>
        <w:t>: Próprio autor</w:t>
      </w:r>
    </w:p>
    <w:p w:rsidR="00642D61" w:rsidRPr="00642D61" w:rsidRDefault="00642D61" w:rsidP="00642D61">
      <w:pPr>
        <w:jc w:val="center"/>
      </w:pPr>
    </w:p>
    <w:p w:rsidR="009A3CD4" w:rsidRDefault="009A3CD4" w:rsidP="009A3CD4">
      <w:pPr>
        <w:pStyle w:val="Ttulo3"/>
        <w:rPr>
          <w:b/>
        </w:rPr>
      </w:pPr>
      <w:bookmarkStart w:id="72" w:name="_Toc421021129"/>
      <w:r>
        <w:rPr>
          <w:b/>
        </w:rPr>
        <w:t>Alimentação</w:t>
      </w:r>
      <w:bookmarkEnd w:id="72"/>
    </w:p>
    <w:p w:rsidR="00971D93" w:rsidRPr="00971D93" w:rsidRDefault="00971D93" w:rsidP="00971D93">
      <w:r>
        <w:t xml:space="preserve">A </w:t>
      </w:r>
      <w:r w:rsidR="00C42185">
        <w:fldChar w:fldCharType="begin"/>
      </w:r>
      <w:r>
        <w:instrText xml:space="preserve"> REF _Ref420939144 \h </w:instrText>
      </w:r>
      <w:r w:rsidR="00C42185">
        <w:fldChar w:fldCharType="separate"/>
      </w:r>
      <w:r>
        <w:t xml:space="preserve">figura </w:t>
      </w:r>
      <w:r>
        <w:rPr>
          <w:noProof/>
        </w:rPr>
        <w:t>11</w:t>
      </w:r>
      <w:r>
        <w:t xml:space="preserve"> </w:t>
      </w:r>
      <w:r w:rsidR="00C42185">
        <w:fldChar w:fldCharType="end"/>
      </w:r>
      <w:r>
        <w:t xml:space="preserve">mostra o circuito de alimentação com as entradas X1/X2 sendo de duas baterias de 9V ligadas em série. </w:t>
      </w:r>
      <w:r w:rsidR="005553FA">
        <w:t>Os capacitores de regulação são de 10uF e 10nF.</w:t>
      </w:r>
    </w:p>
    <w:p w:rsidR="00971D93" w:rsidRDefault="00971D93" w:rsidP="00520333">
      <w:pPr>
        <w:pStyle w:val="Legenda"/>
        <w:keepNext/>
        <w:jc w:val="center"/>
      </w:pPr>
      <w:bookmarkStart w:id="73" w:name="_Ref420939144"/>
      <w:r>
        <w:lastRenderedPageBreak/>
        <w:t xml:space="preserve">Figura </w:t>
      </w:r>
      <w:fldSimple w:instr=" SEQ Figura \* ARABIC ">
        <w:r w:rsidR="00642D61">
          <w:rPr>
            <w:noProof/>
          </w:rPr>
          <w:t>13</w:t>
        </w:r>
      </w:fldSimple>
      <w:r>
        <w:t xml:space="preserve"> - Alimentação</w:t>
      </w:r>
      <w:bookmarkEnd w:id="73"/>
    </w:p>
    <w:p w:rsidR="009A3CD4" w:rsidRDefault="00971D93" w:rsidP="009A3CD4">
      <w:r>
        <w:rPr>
          <w:noProof/>
          <w:lang w:eastAsia="pt-BR"/>
        </w:rPr>
        <w:drawing>
          <wp:inline distT="0" distB="0" distL="0" distR="0">
            <wp:extent cx="4564825" cy="3265838"/>
            <wp:effectExtent l="19050" t="0" r="7175" b="0"/>
            <wp:docPr id="1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Pr="009A3CD4" w:rsidRDefault="00520333" w:rsidP="009A3CD4"/>
    <w:p w:rsidR="009A3CD4" w:rsidRPr="00A06C39" w:rsidRDefault="009A3CD4" w:rsidP="00492B09">
      <w:pPr>
        <w:jc w:val="left"/>
      </w:pPr>
    </w:p>
    <w:p w:rsidR="003B66E0" w:rsidRDefault="003B66E0" w:rsidP="003B66E0">
      <w:pPr>
        <w:pStyle w:val="Ttulo2"/>
      </w:pPr>
      <w:bookmarkStart w:id="74" w:name="_Toc421021130"/>
      <w:r>
        <w:t>Software</w:t>
      </w:r>
      <w:bookmarkEnd w:id="74"/>
      <w:r>
        <w:t xml:space="preserve"> </w:t>
      </w:r>
    </w:p>
    <w:p w:rsidR="0002157A" w:rsidRDefault="0002157A" w:rsidP="0002157A">
      <w:r>
        <w:tab/>
        <w:t xml:space="preserve">A interface </w:t>
      </w:r>
      <w:r w:rsidR="00161223">
        <w:t xml:space="preserve">gráfica </w:t>
      </w:r>
      <w:r>
        <w:t>com o usuário foi feita em C#, para o usuário ter a possibilida</w:t>
      </w:r>
      <w:r w:rsidR="00161223">
        <w:t>d</w:t>
      </w:r>
      <w:r>
        <w:t xml:space="preserve">e de fazer análises e imprimir os resultados. Foi utilizado o software Visual Studio 2013 e comunicação USB para comunicação com a FPGA. </w:t>
      </w:r>
      <w:r w:rsidR="00254317">
        <w:t xml:space="preserve"> A comunicaçao USB foi feita de forma Bulk, com o a FPGA agindo como escrava na comunicação e preenchendo o buffer do End Point a todo instante.</w:t>
      </w:r>
      <w:r w:rsidR="0094784F">
        <w:t xml:space="preserve"> Foi utilizada a biblioteca LibUsbDotNet criada por Travis Robinson</w:t>
      </w:r>
      <w:r w:rsidR="00B53974">
        <w:t>.</w:t>
      </w:r>
    </w:p>
    <w:p w:rsidR="00115E28" w:rsidRDefault="00115E28" w:rsidP="0002157A">
      <w:r>
        <w:tab/>
        <w:t>O programa recebe os dados da análise da função sudomotora das mãos, pés e testa. mostrando-os em um gráfico juntamente com sua taxa de variação, a estatística mais relevante na iontoforese reversa.</w:t>
      </w:r>
    </w:p>
    <w:p w:rsidR="0002157A" w:rsidRPr="0002157A" w:rsidRDefault="007D7046" w:rsidP="0002157A">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sidR="00984EC7">
        <w:rPr>
          <w:rFonts w:cs="Arial"/>
          <w:shd w:val="clear" w:color="auto" w:fill="FFFFFF"/>
        </w:rPr>
        <w:t xml:space="preserve">. As operações matemáticas necessárias para a transformada de Goertzel foram feitas utilizando bibliotecas float_pkg para </w:t>
      </w:r>
      <w:r w:rsidR="00984EC7">
        <w:rPr>
          <w:rFonts w:cs="Arial"/>
          <w:shd w:val="clear" w:color="auto" w:fill="FFFFFF"/>
        </w:rPr>
        <w:lastRenderedPageBreak/>
        <w:t xml:space="preserve">manipulação de variáveis no formado de ponto flutuante disponibilizadas por </w:t>
      </w:r>
      <w:r w:rsidR="00B53974">
        <w:t>David Bishop.</w:t>
      </w:r>
      <w:r w:rsidR="00115E28">
        <w:tab/>
      </w:r>
    </w:p>
    <w:p w:rsidR="003B66E0" w:rsidRDefault="003B66E0" w:rsidP="003B66E0">
      <w:pPr>
        <w:pStyle w:val="Ttulo2"/>
      </w:pPr>
      <w:bookmarkStart w:id="75" w:name="_Toc421021131"/>
      <w:r>
        <w:t>Analise dos sinais</w:t>
      </w:r>
      <w:bookmarkEnd w:id="75"/>
    </w:p>
    <w:p w:rsidR="003B66E0" w:rsidRDefault="003B66E0" w:rsidP="003B66E0">
      <w:pPr>
        <w:pStyle w:val="Ttulo2"/>
      </w:pPr>
      <w:bookmarkStart w:id="76" w:name="_Toc421021132"/>
      <w:r>
        <w:t>Resultado do estudo piloto</w:t>
      </w:r>
      <w:bookmarkEnd w:id="76"/>
    </w:p>
    <w:p w:rsidR="00370E34" w:rsidRPr="00336677" w:rsidRDefault="00370E34" w:rsidP="00151454">
      <w:pPr>
        <w:spacing w:line="240" w:lineRule="auto"/>
        <w:jc w:val="left"/>
        <w:rPr>
          <w:rFonts w:cs="Arial"/>
          <w:b/>
          <w:bCs/>
          <w:color w:val="000000"/>
        </w:rPr>
      </w:pPr>
    </w:p>
    <w:p w:rsidR="00370E34" w:rsidRDefault="00370E34" w:rsidP="00B30672">
      <w:bookmarkStart w:id="77" w:name="_Toc154569928"/>
    </w:p>
    <w:p w:rsidR="00370E34" w:rsidRDefault="00370E34" w:rsidP="00B30672">
      <w:pPr>
        <w:sectPr w:rsidR="00370E34">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21021133"/>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370E34" w:rsidP="00B13803">
      <w:pPr>
        <w:rPr>
          <w:noProof/>
        </w:rPr>
        <w:sectPr w:rsidR="00370E34">
          <w:headerReference w:type="default" r:id="rId54"/>
          <w:footerReference w:type="default" r:id="rId55"/>
          <w:headerReference w:type="first" r:id="rId56"/>
          <w:footerReference w:type="first" r:id="rId57"/>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83" w:name="_Ref125307146"/>
      <w:bookmarkStart w:id="84" w:name="_Toc125374527"/>
      <w:bookmarkStart w:id="85" w:name="_Toc156754424"/>
      <w:bookmarkStart w:id="86" w:name="_Toc421021134"/>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p>
    <w:p w:rsidR="00851876" w:rsidRDefault="00851876" w:rsidP="00851876">
      <w:pPr>
        <w:numPr>
          <w:ilvl w:val="0"/>
          <w:numId w:val="35"/>
        </w:numPr>
      </w:pPr>
    </w:p>
    <w:p w:rsidR="003B66E0" w:rsidRDefault="003B66E0" w:rsidP="003B66E0">
      <w:pPr>
        <w:pStyle w:val="Ttulo2"/>
      </w:pPr>
      <w:bookmarkStart w:id="90" w:name="_Toc421021135"/>
      <w:r>
        <w:t>Trabalhos futuros</w:t>
      </w:r>
      <w:bookmarkEnd w:id="90"/>
    </w:p>
    <w:p w:rsidR="003B66E0" w:rsidRPr="004910EE" w:rsidRDefault="003B66E0" w:rsidP="00B424CD">
      <w:pPr>
        <w:tabs>
          <w:tab w:val="clear" w:pos="851"/>
        </w:tabs>
        <w:sectPr w:rsidR="003B66E0" w:rsidRPr="004910EE">
          <w:headerReference w:type="even" r:id="rId58"/>
          <w:headerReference w:type="default" r:id="rId59"/>
          <w:footerReference w:type="default" r:id="rId60"/>
          <w:headerReference w:type="first" r:id="rId61"/>
          <w:footerReference w:type="first" r:id="rId6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21021136"/>
      <w:r w:rsidRPr="00B55442">
        <w:lastRenderedPageBreak/>
        <w:t>ReferÊncias</w:t>
      </w:r>
      <w:bookmarkEnd w:id="87"/>
      <w:bookmarkEnd w:id="88"/>
      <w:bookmarkEnd w:id="89"/>
      <w:bookmarkEnd w:id="91"/>
      <w:bookmarkEnd w:id="92"/>
    </w:p>
    <w:p w:rsidR="00370E34" w:rsidRPr="00B55442" w:rsidRDefault="00370E34" w:rsidP="00AB1F1F">
      <w:pPr>
        <w:pStyle w:val="Ttulo"/>
      </w:pPr>
    </w:p>
    <w:p w:rsidR="000C07FE" w:rsidRPr="00B04FEE" w:rsidRDefault="00C42185"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3"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4"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1E3B8A" w:rsidRDefault="002F1391" w:rsidP="000C07FE">
      <w:pPr>
        <w:pStyle w:val="Referncias"/>
        <w:spacing w:after="0"/>
        <w:rPr>
          <w:rFonts w:cs="Arial"/>
          <w:noProof/>
          <w:lang w:val="en-GB"/>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1E3B8A">
        <w:rPr>
          <w:rFonts w:cs="Arial"/>
          <w:noProof/>
          <w:lang w:val="en-GB"/>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B53974" w:rsidRDefault="00B53974" w:rsidP="002F1391">
      <w:pPr>
        <w:pStyle w:val="Referncias"/>
        <w:tabs>
          <w:tab w:val="clear" w:pos="851"/>
          <w:tab w:val="left" w:pos="6246"/>
        </w:tabs>
        <w:spacing w:after="0"/>
        <w:ind w:left="720" w:hanging="720"/>
        <w:rPr>
          <w:rFonts w:cs="Arial"/>
          <w:noProof/>
          <w:lang w:val="en-GB"/>
        </w:rPr>
      </w:pPr>
    </w:p>
    <w:p w:rsidR="00B53974" w:rsidRDefault="00B53974" w:rsidP="00B53974">
      <w:pPr>
        <w:rPr>
          <w:rFonts w:eastAsia="Calibri"/>
          <w:lang w:val="en-GB"/>
        </w:rPr>
      </w:pPr>
      <w:r w:rsidRPr="00B53974">
        <w:rPr>
          <w:rFonts w:eastAsia="Calibri"/>
          <w:lang w:val="en-GB"/>
        </w:rPr>
        <w:t xml:space="preserve">International Diabetes Federation. </w:t>
      </w:r>
      <w:r w:rsidRPr="00B53974">
        <w:rPr>
          <w:rFonts w:eastAsia="Calibri"/>
          <w:i/>
          <w:lang w:val="en-GB"/>
        </w:rPr>
        <w:t xml:space="preserve">"Diabetes surge hits every nation". </w:t>
      </w:r>
      <w:r w:rsidRPr="00B53974">
        <w:rPr>
          <w:rFonts w:eastAsia="Calibri"/>
          <w:lang w:val="en-GB"/>
        </w:rPr>
        <w:t>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lang w:val="en-GB"/>
        </w:rPr>
        <w:t xml:space="preserve">KHALFALLAH, K., AYOUB, H., CALVET J. H., NEVEU, X., BRUNSWICK, P., GRIVEAU, S., LAIR, V., CASSIR, M., BEDIOUI, F. </w:t>
      </w:r>
      <w:r w:rsidRPr="00B53974">
        <w:rPr>
          <w:rFonts w:eastAsia="Calibri"/>
          <w:i/>
          <w:lang w:val="en-GB"/>
        </w:rPr>
        <w:t>"Non-invasive galvanic skin sensor for early diagnosis of sudomotor dysfunciton: Application to Diabetes"</w:t>
      </w:r>
      <w:r w:rsidRPr="00B53974">
        <w:rPr>
          <w:rFonts w:eastAsia="Calibri"/>
          <w:lang w:val="en-GB"/>
        </w:rPr>
        <w:t>. IEE SENSORS JOURNAL, v. 12, n. 3. 2012</w:t>
      </w:r>
      <w:r w:rsidRPr="00B53974">
        <w:rPr>
          <w:rFonts w:eastAsia="Calibri"/>
          <w:i/>
          <w:lang w:val="en-GB"/>
        </w:rPr>
        <w:t>.</w:t>
      </w:r>
    </w:p>
    <w:p w:rsidR="00B53974" w:rsidRPr="00B53974" w:rsidRDefault="00B53974" w:rsidP="00B53974">
      <w:pPr>
        <w:rPr>
          <w:rFonts w:eastAsia="Calibri"/>
          <w:lang w:val="en-GB"/>
        </w:rPr>
      </w:pPr>
    </w:p>
    <w:p w:rsidR="00B53974" w:rsidRPr="00B53974" w:rsidRDefault="00B53974" w:rsidP="00B53974">
      <w:pPr>
        <w:rPr>
          <w:rFonts w:eastAsia="Calibri"/>
          <w:i/>
          <w:lang w:val="en-GB"/>
        </w:rPr>
      </w:pPr>
      <w:r w:rsidRPr="00B53974">
        <w:rPr>
          <w:rFonts w:eastAsia="Calibri"/>
          <w:lang w:val="en-GB"/>
        </w:rPr>
        <w:lastRenderedPageBreak/>
        <w:t>SCHWARZ, P., BRUNSWICK, P., CALVET, J.</w:t>
      </w:r>
      <w:r w:rsidRPr="00B53974">
        <w:rPr>
          <w:rFonts w:eastAsia="Calibri"/>
          <w:i/>
          <w:lang w:val="en-GB"/>
        </w:rPr>
        <w:t xml:space="preserve">"EZSCAN™ a new technology to detect diabetes risk". </w:t>
      </w:r>
      <w:r w:rsidRPr="00B53974">
        <w:rPr>
          <w:rFonts w:eastAsia="Calibri"/>
          <w:lang w:val="en-GB"/>
        </w:rPr>
        <w:t>The British Journal of Diabetes &amp; Vascular Disease. 2011.</w:t>
      </w:r>
    </w:p>
    <w:p w:rsidR="00B53974" w:rsidRDefault="00B53974" w:rsidP="00B53974">
      <w:pPr>
        <w:rPr>
          <w:rFonts w:eastAsia="Calibri"/>
          <w:i/>
          <w:lang w:val="en-GB"/>
        </w:rPr>
      </w:pPr>
      <w:r w:rsidRPr="00B53974">
        <w:rPr>
          <w:rFonts w:eastAsia="Calibri"/>
          <w:lang w:val="en-GB"/>
        </w:rPr>
        <w:t xml:space="preserve">American Diabetes Assocition </w:t>
      </w:r>
      <w:r w:rsidRPr="00B53974">
        <w:rPr>
          <w:rFonts w:eastAsia="Calibri"/>
          <w:i/>
          <w:lang w:val="en-GB"/>
        </w:rPr>
        <w:t>"Diagnosis and Classification of Diabetes Mellitus". Diabetes Care. v. 37 sup. 1. 2014.</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CHIZMADZHEV, Y. A., INDENBOM, A. V, KUZMIN, P. I., GALICHENKO, S. V., WEAVER, J. C. POTTS, R. O. "</w:t>
      </w:r>
      <w:r w:rsidRPr="00B53974">
        <w:rPr>
          <w:rFonts w:eastAsia="Calibri"/>
          <w:i/>
          <w:lang w:val="en-GB"/>
        </w:rPr>
        <w:t xml:space="preserve">Electrical Properties of Skin at Moderate Voltages: Contribution of Appendageal Macropores". </w:t>
      </w:r>
      <w:r w:rsidRPr="00B53974">
        <w:rPr>
          <w:rFonts w:eastAsia="Calibri"/>
          <w:lang w:val="en-GB"/>
        </w:rPr>
        <w:t>Biophysical Journal. v. 74. 1998.</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 xml:space="preserve">SHENG, C., ZENG, W., HUANG, Q., DESLYPERE, J., WANG, J. </w:t>
      </w:r>
      <w:r w:rsidRPr="00B53974">
        <w:rPr>
          <w:rFonts w:eastAsia="Calibri"/>
          <w:i/>
          <w:lang w:val="en-GB"/>
        </w:rPr>
        <w:t xml:space="preserve">"Accuracy of a Novel Non-Invasive technology based EZSCAN system for the diagnosis of diabetes mellitus in Chinese". </w:t>
      </w:r>
      <w:r w:rsidRPr="00B53974">
        <w:rPr>
          <w:rFonts w:eastAsia="Calibri"/>
          <w:lang w:val="en-GB"/>
        </w:rPr>
        <w:t>Diabetology &amp; Metabolic Syndrome. 2011.</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BRUNSWICK, P., MAYAUDON, H., ALBIN, V., LAIR, V., RINGUEDE, A., CASSIR, M. "Use of Ni electrodes chronoamperometry for improved diagnostics of diabetes and cardiac diseases” Conference of the IEEE EMBS. 2007</w:t>
      </w:r>
    </w:p>
    <w:p w:rsidR="00B53974" w:rsidRPr="00B53974" w:rsidRDefault="00B53974" w:rsidP="00B53974">
      <w:pPr>
        <w:rPr>
          <w:rFonts w:eastAsia="Calibri"/>
          <w:i/>
          <w:lang w:val="en-GB"/>
        </w:rPr>
      </w:pPr>
    </w:p>
    <w:p w:rsidR="00B53974" w:rsidRPr="00834EF3" w:rsidRDefault="00B53974" w:rsidP="00B53974">
      <w:pPr>
        <w:rPr>
          <w:rFonts w:eastAsia="Calibri"/>
          <w:i/>
          <w:lang w:val="en-GB"/>
        </w:rPr>
      </w:pPr>
      <w:r w:rsidRPr="00B53974">
        <w:rPr>
          <w:rFonts w:eastAsia="Calibri"/>
          <w:i/>
          <w:lang w:val="en-GB"/>
        </w:rPr>
        <w:t xml:space="preserve">HUBERT, D., BRUNSWICK, P., CALVET, J., DUSSER, D., FAJAC, I.  "Abnormal electrochemical skin conductance in cystic fibrosis". </w:t>
      </w:r>
      <w:r w:rsidRPr="00B53974">
        <w:rPr>
          <w:rFonts w:eastAsia="Calibri"/>
          <w:lang w:val="en-GB"/>
        </w:rPr>
        <w:t xml:space="preserve">Journal of Cystic Fibrosis. </w:t>
      </w:r>
      <w:r w:rsidRPr="00834EF3">
        <w:rPr>
          <w:rFonts w:eastAsia="Calibri"/>
          <w:lang w:val="en-GB"/>
        </w:rPr>
        <w:t>2010.</w:t>
      </w:r>
    </w:p>
    <w:p w:rsidR="00B53974" w:rsidRDefault="00B53974" w:rsidP="00B53974">
      <w:pPr>
        <w:rPr>
          <w:rFonts w:eastAsia="Calibri"/>
          <w:i/>
          <w:lang w:val="en-GB"/>
        </w:rPr>
      </w:pPr>
      <w:r w:rsidRPr="00B53974">
        <w:rPr>
          <w:rFonts w:eastAsia="Calibri"/>
          <w:i/>
          <w:lang w:val="en-GB"/>
        </w:rPr>
        <w:t>BIANCHI, C. "A sensor-based approach to safe trans-dermal iontophoresis" SAME conference. 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SOLOMON, T., BOULTON, A. J. M., FREEMAN, R., HOROWITZ, M., KEMPLER, P., LAURIA, G., MALIK, R. A., SPALLONE, V., VINIK, A., BERNARDI, L., VALNSI, P. "Diabetic Neuropathies: Update on Definitions, Diagnostic Criteria, Estimation of Severity, and Treatments ". Diabetes Journal. 2010.</w:t>
      </w:r>
    </w:p>
    <w:p w:rsidR="00B53974" w:rsidRPr="00B53974" w:rsidRDefault="00B53974" w:rsidP="00B53974">
      <w:pPr>
        <w:rPr>
          <w:rFonts w:eastAsia="Calibri"/>
          <w:i/>
          <w:lang w:val="en-GB"/>
        </w:rPr>
      </w:pPr>
    </w:p>
    <w:p w:rsidR="00B53974" w:rsidRDefault="00B53974" w:rsidP="00B53974">
      <w:pPr>
        <w:rPr>
          <w:lang w:val="en-GB"/>
        </w:rPr>
      </w:pPr>
      <w:r w:rsidRPr="00B53974">
        <w:rPr>
          <w:lang w:val="en-GB"/>
        </w:rPr>
        <w:t>GIBBONS, C. H, ILLIGENS, B. M., WANG N., FREEMAN,R. "</w:t>
      </w:r>
      <w:r w:rsidRPr="00B53974">
        <w:rPr>
          <w:i/>
          <w:lang w:val="en-GB"/>
        </w:rPr>
        <w:t>Quantificationofsweatglandinnervation: a clinical-pathologiccorrelation. Neurology"</w:t>
      </w:r>
      <w:r w:rsidRPr="00B53974">
        <w:rPr>
          <w:lang w:val="en-GB"/>
        </w:rPr>
        <w:t xml:space="preserve"> 1479–1486, 2009.</w:t>
      </w:r>
    </w:p>
    <w:p w:rsidR="00B53974" w:rsidRPr="00B53974" w:rsidRDefault="00B53974" w:rsidP="00B53974">
      <w:pPr>
        <w:rPr>
          <w:lang w:val="en-GB"/>
        </w:rPr>
      </w:pPr>
    </w:p>
    <w:p w:rsidR="00B53974" w:rsidRDefault="00B53974" w:rsidP="00B53974">
      <w:pPr>
        <w:rPr>
          <w:lang w:val="en-GB"/>
        </w:rPr>
      </w:pPr>
      <w:r w:rsidRPr="00B53974">
        <w:rPr>
          <w:lang w:val="en-GB"/>
        </w:rPr>
        <w:t>AYOUB, H., LAIR, V., GRIVEAU, S., BRUNSWICK, P. B. "</w:t>
      </w:r>
      <w:r w:rsidRPr="00B53974">
        <w:rPr>
          <w:i/>
          <w:lang w:val="en-GB"/>
        </w:rPr>
        <w:t xml:space="preserve">ElectrochemicalCharacterizationofStainless Steel as a New Electrode Material in a </w:t>
      </w:r>
      <w:r w:rsidRPr="00B53974">
        <w:rPr>
          <w:i/>
          <w:lang w:val="en-GB"/>
        </w:rPr>
        <w:lastRenderedPageBreak/>
        <w:t>Medical Device for the Diagnosis of Sudomotor Dysfunction</w:t>
      </w:r>
      <w:r w:rsidRPr="00B53974">
        <w:rPr>
          <w:lang w:val="en-GB"/>
        </w:rPr>
        <w:t>". Electro analysis, Vol.24 No.6, 2012.</w:t>
      </w:r>
    </w:p>
    <w:p w:rsidR="00B53974" w:rsidRPr="00B53974" w:rsidRDefault="00B53974" w:rsidP="00B53974">
      <w:pPr>
        <w:rPr>
          <w:lang w:val="en-GB"/>
        </w:rPr>
      </w:pPr>
    </w:p>
    <w:p w:rsidR="00B53974" w:rsidRDefault="00B53974" w:rsidP="00B53974">
      <w:r w:rsidRPr="00B53974">
        <w:rPr>
          <w:lang w:val="en-GB"/>
        </w:rPr>
        <w:t xml:space="preserve">VINIK, A. K., MASER, R. E., MITCHELLI B. D., FREEMAN. </w:t>
      </w:r>
      <w:r w:rsidRPr="00B53974">
        <w:t>R., "</w:t>
      </w:r>
      <w:r w:rsidRPr="00B53974">
        <w:rPr>
          <w:i/>
        </w:rPr>
        <w:t xml:space="preserve">Diabetic Autonomic Neuropathy" </w:t>
      </w:r>
      <w:r w:rsidRPr="00B53974">
        <w:t>, Diabetes Care, Vol. 26,  No.6, 2003.</w:t>
      </w:r>
    </w:p>
    <w:p w:rsidR="00B53974" w:rsidRPr="00B53974" w:rsidRDefault="00B53974" w:rsidP="00B53974"/>
    <w:p w:rsidR="00B53974" w:rsidRPr="002127BC" w:rsidRDefault="00B53974" w:rsidP="00B53974">
      <w:r w:rsidRPr="00B53974">
        <w:t xml:space="preserve">GIESELER, R. K., SANCHES, G. S. CUNHA, J. C., NEGRI, L. H., PATERNO, A. S., </w:t>
      </w:r>
      <w:r w:rsidRPr="002127BC">
        <w:t>"Subamostragem e o uso do algoritmo de goertzel para otimização de espectrômetros de bioimpedância", CBEB, 2013</w:t>
      </w:r>
    </w:p>
    <w:p w:rsidR="00B53974" w:rsidRPr="00B53974" w:rsidRDefault="00B53974" w:rsidP="00B53974"/>
    <w:p w:rsidR="00B53974" w:rsidRDefault="00B53974" w:rsidP="00B53974">
      <w:r w:rsidRPr="00B53974">
        <w:t>ZAKHOV, M.,</w:t>
      </w:r>
      <w:r w:rsidR="00714A36">
        <w:t xml:space="preserve"> "bibiolteca USB para Altera DE2"</w:t>
      </w:r>
      <w:r w:rsidR="003B1D84">
        <w:t>.</w:t>
      </w:r>
      <w:r w:rsidRPr="00B53974">
        <w:t xml:space="preserve"> </w:t>
      </w:r>
      <w:r w:rsidR="003B1D84">
        <w:t>Disponível</w:t>
      </w:r>
      <w:r w:rsidRPr="00B53974">
        <w:t xml:space="preserve"> em https://github.com/Dominator008/usb-de2-fpga, acesso em 12/06/2015</w:t>
      </w:r>
    </w:p>
    <w:p w:rsidR="00B53974" w:rsidRDefault="00B53974" w:rsidP="00B53974"/>
    <w:p w:rsidR="00B53974" w:rsidRPr="00B53974" w:rsidRDefault="00B53974" w:rsidP="00B53974">
      <w:r>
        <w:t>ROBINSON, T</w:t>
      </w:r>
      <w:r w:rsidRPr="00B53974">
        <w:t xml:space="preserve">., </w:t>
      </w:r>
      <w:r w:rsidR="00714A36">
        <w:t>"Biblioteca USB para C#"</w:t>
      </w:r>
      <w:r w:rsidR="003B1D84">
        <w:t>.</w:t>
      </w:r>
      <w:r w:rsidR="00714A36">
        <w:t xml:space="preserve"> </w:t>
      </w:r>
      <w:r w:rsidR="003B1D84">
        <w:t xml:space="preserve">Disponível </w:t>
      </w:r>
      <w:r w:rsidRPr="00B53974">
        <w:t xml:space="preserve">em </w:t>
      </w:r>
      <w:r w:rsidRPr="00984EC7">
        <w:t>http://libusbdotnet.sourceforge.net/V2/Index.html</w:t>
      </w:r>
      <w:r w:rsidRPr="00B53974">
        <w:t>, acesso em 12/06/2015</w:t>
      </w:r>
    </w:p>
    <w:p w:rsidR="00B53974" w:rsidRDefault="00B53974" w:rsidP="00B53974">
      <w:pPr>
        <w:rPr>
          <w:rFonts w:cs="Arial"/>
          <w:noProof/>
        </w:rPr>
      </w:pPr>
    </w:p>
    <w:p w:rsidR="00B53974" w:rsidRDefault="00B53974" w:rsidP="00B53974">
      <w:r w:rsidRPr="00B53974">
        <w:t xml:space="preserve">BISHOP, D., </w:t>
      </w:r>
      <w:r w:rsidR="00714A36">
        <w:t>"Biblioteca de ponto flutuante para FPGA"</w:t>
      </w:r>
      <w:r w:rsidR="003B1D84">
        <w:t>.</w:t>
      </w:r>
      <w:r w:rsidR="00714A36">
        <w:t xml:space="preserve"> </w:t>
      </w:r>
      <w:r w:rsidR="003B1D84">
        <w:t>Disponível</w:t>
      </w:r>
      <w:r w:rsidR="003B1D84" w:rsidRPr="00B53974">
        <w:t xml:space="preserve"> </w:t>
      </w:r>
      <w:r w:rsidRPr="00B53974">
        <w:t>em http://www.vhdl.org/fphdl/Float_ug.pdf, acesso em 12/06/2015</w:t>
      </w:r>
    </w:p>
    <w:p w:rsidR="00F812D7" w:rsidRDefault="00F812D7" w:rsidP="00B53974"/>
    <w:p w:rsidR="00F812D7" w:rsidRDefault="00F812D7" w:rsidP="00B53974">
      <w:r w:rsidRPr="00F812D7">
        <w:rPr>
          <w:lang w:val="en-GB"/>
        </w:rPr>
        <w:t xml:space="preserve">PHILLIP A. LOW, JONG-CHYOU DENQ, TONETTE L., PETER J. DYCK, PETER C. O’BRIEN, JEFF M. SLEZAK. "Effect of age and gender on sudomotor and cardiovagal function and blood pressure response to tilt in normal subjects". </w:t>
      </w:r>
      <w:r w:rsidRPr="00F812D7">
        <w:t>MUSCLE &amp; NERVE. 1997.</w:t>
      </w:r>
    </w:p>
    <w:p w:rsidR="00F812D7" w:rsidRDefault="00F812D7" w:rsidP="00B53974"/>
    <w:p w:rsidR="00F812D7" w:rsidRPr="00B53974" w:rsidRDefault="00F812D7" w:rsidP="00B53974"/>
    <w:p w:rsidR="00B53974" w:rsidRPr="00B53974" w:rsidRDefault="00B53974" w:rsidP="00B53974">
      <w:pPr>
        <w:rPr>
          <w:rFonts w:cs="Arial"/>
          <w:noProof/>
        </w:rPr>
      </w:pPr>
    </w:p>
    <w:p w:rsidR="00370E34" w:rsidRPr="002127BC" w:rsidRDefault="00C42185" w:rsidP="002127BC">
      <w:pPr>
        <w:jc w:val="left"/>
        <w:rPr>
          <w:rFonts w:cs="Arial"/>
          <w:lang w:val="en-GB"/>
        </w:rPr>
        <w:sectPr w:rsidR="00370E34" w:rsidRPr="002127BC" w:rsidSect="00E31F5E">
          <w:headerReference w:type="even" r:id="rId65"/>
          <w:headerReference w:type="default" r:id="rId66"/>
          <w:footerReference w:type="default" r:id="rId67"/>
          <w:headerReference w:type="first" r:id="rId68"/>
          <w:footerReference w:type="first" r:id="rId69"/>
          <w:pgSz w:w="11907" w:h="16840" w:code="9"/>
          <w:pgMar w:top="1701" w:right="1134" w:bottom="1531" w:left="1701" w:header="709" w:footer="709" w:gutter="0"/>
          <w:cols w:space="708"/>
          <w:docGrid w:linePitch="360"/>
        </w:sectPr>
      </w:pPr>
      <w:r w:rsidRPr="00A3473E">
        <w:fldChar w:fldCharType="end"/>
      </w:r>
    </w:p>
    <w:p w:rsidR="00370E34" w:rsidRPr="003B1AF5" w:rsidRDefault="00370E34" w:rsidP="0075471D">
      <w:pPr>
        <w:pStyle w:val="FolhadeRostodosCaptulos"/>
        <w:rPr>
          <w:rFonts w:cs="Arial"/>
        </w:rPr>
      </w:pPr>
      <w:bookmarkStart w:id="93" w:name="_Toc125374529"/>
      <w:r w:rsidRPr="003B1AF5">
        <w:rPr>
          <w:rFonts w:cs="Arial"/>
        </w:rPr>
        <w:lastRenderedPageBreak/>
        <w:t>Apêndice 1</w:t>
      </w:r>
    </w:p>
    <w:p w:rsidR="00370E34" w:rsidRPr="00C20B7C" w:rsidRDefault="00AA286B" w:rsidP="004D6BEA">
      <w:pPr>
        <w:pStyle w:val="TtulodoApndice"/>
      </w:pPr>
      <w:bookmarkStart w:id="94" w:name="_Toc421021137"/>
      <w:bookmarkStart w:id="95" w:name="_Toc156675043"/>
      <w:bookmarkStart w:id="96" w:name="_Toc156754426"/>
      <w:r>
        <w:lastRenderedPageBreak/>
        <w:t>tabela</w:t>
      </w:r>
      <w:r w:rsidR="007D743F">
        <w:t>s</w:t>
      </w:r>
      <w:r>
        <w:t xml:space="preserve"> de dados</w:t>
      </w:r>
      <w:bookmarkEnd w:id="94"/>
      <w:r>
        <w:t xml:space="preserve"> </w:t>
      </w:r>
      <w:bookmarkEnd w:id="95"/>
      <w:bookmarkEnd w:id="96"/>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93"/>
    <w:p w:rsidR="00F2517D" w:rsidRPr="006027C6" w:rsidRDefault="00F2517D" w:rsidP="00F2517D">
      <w:pPr>
        <w:rPr>
          <w:rFonts w:cs="Arial"/>
        </w:rPr>
        <w:sectPr w:rsidR="00F2517D" w:rsidRPr="006027C6" w:rsidSect="002855C0">
          <w:headerReference w:type="default" r:id="rId70"/>
          <w:headerReference w:type="first" r:id="rId71"/>
          <w:footerReference w:type="first" r:id="rId72"/>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7" w:name="_Toc156675046"/>
      <w:bookmarkStart w:id="98" w:name="_Toc156754429"/>
      <w:bookmarkStart w:id="99" w:name="_Toc239431086"/>
      <w:bookmarkStart w:id="100" w:name="_Toc421021138"/>
      <w:r>
        <w:lastRenderedPageBreak/>
        <w:t>Título do anexo 1</w:t>
      </w:r>
      <w:bookmarkEnd w:id="97"/>
      <w:bookmarkEnd w:id="98"/>
      <w:bookmarkEnd w:id="99"/>
      <w:bookmarkEnd w:id="100"/>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3"/>
      <w:footerReference w:type="default" r:id="rId74"/>
      <w:headerReference w:type="first" r:id="rId75"/>
      <w:footerReference w:type="first" r:id="rId7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F0E" w:rsidRDefault="008D1F0E">
      <w:r>
        <w:separator/>
      </w:r>
    </w:p>
    <w:p w:rsidR="008D1F0E" w:rsidRDefault="008D1F0E"/>
    <w:p w:rsidR="008D1F0E" w:rsidRDefault="008D1F0E"/>
    <w:p w:rsidR="008D1F0E" w:rsidRDefault="008D1F0E"/>
  </w:endnote>
  <w:endnote w:type="continuationSeparator" w:id="1">
    <w:p w:rsidR="008D1F0E" w:rsidRDefault="008D1F0E">
      <w:r>
        <w:continuationSeparator/>
      </w:r>
    </w:p>
    <w:p w:rsidR="008D1F0E" w:rsidRDefault="008D1F0E"/>
    <w:p w:rsidR="008D1F0E" w:rsidRDefault="008D1F0E"/>
    <w:p w:rsidR="008D1F0E" w:rsidRDefault="008D1F0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834EF3" w:rsidRDefault="00834EF3"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F0E" w:rsidRDefault="008D1F0E">
      <w:r>
        <w:separator/>
      </w:r>
    </w:p>
    <w:p w:rsidR="008D1F0E" w:rsidRDefault="008D1F0E"/>
    <w:p w:rsidR="008D1F0E" w:rsidRDefault="008D1F0E"/>
    <w:p w:rsidR="008D1F0E" w:rsidRDefault="008D1F0E"/>
  </w:footnote>
  <w:footnote w:type="continuationSeparator" w:id="1">
    <w:p w:rsidR="008D1F0E" w:rsidRDefault="008D1F0E">
      <w:r>
        <w:continuationSeparator/>
      </w:r>
    </w:p>
    <w:p w:rsidR="008D1F0E" w:rsidRDefault="008D1F0E"/>
    <w:p w:rsidR="008D1F0E" w:rsidRDefault="008D1F0E"/>
    <w:p w:rsidR="008D1F0E" w:rsidRDefault="008D1F0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834EF3" w:rsidRPr="00E37DB5" w:rsidRDefault="00834EF3" w:rsidP="00A170DC">
    <w:pPr>
      <w:ind w:right="397"/>
      <w:jc w:val="right"/>
      <w:rPr>
        <w:b/>
        <w:color w:val="999999"/>
        <w:sz w:val="20"/>
        <w:szCs w:val="20"/>
      </w:rPr>
    </w:pPr>
    <w:r w:rsidRPr="00C42185">
      <w:rPr>
        <w:noProof/>
        <w:lang w:eastAsia="pt-BR"/>
      </w:rPr>
      <w:pict>
        <v:line id="_x0000_s2053" style="position:absolute;left:0;text-align:left;z-index:251653632" from="0,13.6pt" to="433.7pt,13.6pt"/>
      </w:pict>
    </w:r>
    <w:r>
      <w:rPr>
        <w:b/>
        <w:color w:val="999999"/>
        <w:sz w:val="20"/>
        <w:szCs w:val="20"/>
      </w:rPr>
      <w:t>MATERIAL E MÉTODO</w:t>
    </w:r>
  </w:p>
  <w:p w:rsidR="00834EF3" w:rsidRDefault="00834EF3"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121E4">
      <w:rPr>
        <w:rStyle w:val="Nmerodepgina"/>
        <w:noProof/>
      </w:rPr>
      <w:t>28</w:t>
    </w:r>
    <w:r>
      <w:rPr>
        <w:rStyle w:val="Nmerodepgina"/>
      </w:rPr>
      <w:fldChar w:fldCharType="end"/>
    </w:r>
  </w:p>
  <w:p w:rsidR="00834EF3" w:rsidRPr="00E37DB5" w:rsidRDefault="00834EF3" w:rsidP="005C1AA4">
    <w:pPr>
      <w:ind w:right="397"/>
      <w:jc w:val="right"/>
      <w:rPr>
        <w:b/>
        <w:color w:val="999999"/>
        <w:sz w:val="20"/>
        <w:szCs w:val="20"/>
      </w:rPr>
    </w:pPr>
    <w:r w:rsidRPr="00C42185">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834EF3" w:rsidRDefault="00834EF3">
    <w:pPr>
      <w:ind w:right="397"/>
      <w:jc w:val="right"/>
      <w:rPr>
        <w:b/>
        <w:color w:val="808080"/>
        <w:sz w:val="20"/>
      </w:rPr>
    </w:pPr>
    <w:r w:rsidRPr="00C42185">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32</w:t>
    </w:r>
    <w:r>
      <w:rPr>
        <w:rStyle w:val="Nmerodepgina"/>
      </w:rPr>
      <w:fldChar w:fldCharType="end"/>
    </w:r>
  </w:p>
  <w:p w:rsidR="00834EF3" w:rsidRDefault="00834EF3">
    <w:pPr>
      <w:ind w:right="397"/>
      <w:jc w:val="right"/>
      <w:rPr>
        <w:b/>
        <w:color w:val="808080"/>
        <w:sz w:val="20"/>
      </w:rPr>
    </w:pPr>
    <w:r w:rsidRPr="00C42185">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36</w:t>
    </w:r>
    <w:r>
      <w:rPr>
        <w:rStyle w:val="Nmerodepgina"/>
      </w:rPr>
      <w:fldChar w:fldCharType="end"/>
    </w:r>
  </w:p>
  <w:p w:rsidR="00834EF3" w:rsidRDefault="00834EF3">
    <w:pPr>
      <w:ind w:right="397"/>
      <w:jc w:val="right"/>
      <w:rPr>
        <w:b/>
        <w:color w:val="808080"/>
        <w:sz w:val="20"/>
      </w:rPr>
    </w:pPr>
    <w:r w:rsidRPr="00C42185">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834EF3" w:rsidRDefault="00834EF3">
    <w:pPr>
      <w:ind w:right="397" w:firstLine="360"/>
      <w:jc w:val="right"/>
      <w:rPr>
        <w:b/>
        <w:color w:val="808080"/>
        <w:sz w:val="20"/>
      </w:rPr>
    </w:pPr>
    <w:r>
      <w:rPr>
        <w:b/>
        <w:color w:val="808080"/>
        <w:sz w:val="20"/>
      </w:rPr>
      <w:t xml:space="preserve">APÊNDICE </w:t>
    </w:r>
    <w:r w:rsidRPr="00C42185">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834EF3" w:rsidRDefault="00834EF3">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37</w:t>
    </w:r>
    <w:r>
      <w:rPr>
        <w:rStyle w:val="Nmerodepgina"/>
      </w:rPr>
      <w:fldChar w:fldCharType="end"/>
    </w:r>
  </w:p>
  <w:p w:rsidR="00834EF3" w:rsidRDefault="00834EF3">
    <w:pPr>
      <w:ind w:right="397" w:firstLine="360"/>
      <w:jc w:val="right"/>
      <w:rPr>
        <w:b/>
        <w:color w:val="808080"/>
        <w:sz w:val="20"/>
      </w:rPr>
    </w:pPr>
    <w:r w:rsidRPr="00C42185">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834EF3" w:rsidRPr="00E37DB5" w:rsidRDefault="00834EF3" w:rsidP="006D3A3B">
    <w:pPr>
      <w:ind w:right="397" w:firstLine="360"/>
      <w:jc w:val="right"/>
      <w:rPr>
        <w:b/>
        <w:color w:val="999999"/>
        <w:sz w:val="20"/>
        <w:szCs w:val="20"/>
      </w:rPr>
    </w:pPr>
    <w:r>
      <w:rPr>
        <w:b/>
        <w:color w:val="999999"/>
        <w:sz w:val="20"/>
        <w:szCs w:val="20"/>
      </w:rPr>
      <w:t xml:space="preserve">APÊNDICE </w:t>
    </w:r>
    <w:r w:rsidRPr="00C42185">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834EF3" w:rsidRDefault="00834EF3">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38</w:t>
    </w:r>
    <w:r>
      <w:rPr>
        <w:rStyle w:val="Nmerodepgina"/>
      </w:rPr>
      <w:fldChar w:fldCharType="end"/>
    </w:r>
  </w:p>
  <w:p w:rsidR="00834EF3" w:rsidRPr="00E37DB5" w:rsidRDefault="00834EF3" w:rsidP="00E82440">
    <w:pPr>
      <w:ind w:right="397" w:firstLine="360"/>
      <w:jc w:val="right"/>
      <w:rPr>
        <w:b/>
        <w:color w:val="999999"/>
        <w:sz w:val="20"/>
        <w:szCs w:val="20"/>
      </w:rPr>
    </w:pPr>
    <w:r w:rsidRPr="00C42185">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E31F5E">
    <w:pPr>
      <w:ind w:right="397" w:firstLine="360"/>
      <w:jc w:val="right"/>
      <w:rPr>
        <w:b/>
        <w:color w:val="808080"/>
        <w:sz w:val="20"/>
      </w:rPr>
    </w:pPr>
    <w:r w:rsidRPr="00C42185">
      <w:rPr>
        <w:noProof/>
        <w:lang w:eastAsia="pt-BR"/>
      </w:rPr>
      <w:pict>
        <v:line id="_x0000_s2062" style="position:absolute;left:0;text-align:left;z-index:251664896" from="0,13.6pt" to="433.7pt,13.6pt" o:allowincell="f"/>
      </w:pict>
    </w:r>
    <w:r>
      <w:rPr>
        <w:b/>
        <w:color w:val="808080"/>
        <w:sz w:val="20"/>
      </w:rPr>
      <w:t>REFERÊNCIAS</w:t>
    </w:r>
  </w:p>
  <w:p w:rsidR="00834EF3" w:rsidRDefault="00834EF3">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42</w:t>
    </w:r>
    <w:r>
      <w:rPr>
        <w:rStyle w:val="Nmerodepgina"/>
      </w:rPr>
      <w:fldChar w:fldCharType="end"/>
    </w:r>
  </w:p>
  <w:p w:rsidR="00834EF3" w:rsidRPr="00E37DB5" w:rsidRDefault="00834EF3"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Pr="00E31F5E" w:rsidRDefault="00834EF3"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2D7">
      <w:rPr>
        <w:rStyle w:val="Nmerodepgina"/>
        <w:noProof/>
      </w:rPr>
      <w:t>44</w:t>
    </w:r>
    <w:r>
      <w:rPr>
        <w:rStyle w:val="Nmerodepgina"/>
      </w:rPr>
      <w:fldChar w:fldCharType="end"/>
    </w:r>
  </w:p>
  <w:p w:rsidR="00834EF3" w:rsidRPr="00E37DB5" w:rsidRDefault="00834EF3" w:rsidP="00E82440">
    <w:pPr>
      <w:ind w:right="397" w:firstLine="360"/>
      <w:jc w:val="right"/>
      <w:rPr>
        <w:b/>
        <w:color w:val="999999"/>
        <w:sz w:val="20"/>
        <w:szCs w:val="20"/>
      </w:rPr>
    </w:pPr>
    <w:r w:rsidRPr="00C42185">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34EF3" w:rsidRPr="00E37DB5" w:rsidRDefault="00834EF3"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834EF3" w:rsidRDefault="00834EF3"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834EF3" w:rsidRPr="00E37DB5" w:rsidRDefault="00834EF3"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834EF3" w:rsidRPr="00E37DB5" w:rsidRDefault="00834EF3"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834EF3" w:rsidRDefault="00834EF3"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F3" w:rsidRDefault="00834EF3"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27BC">
      <w:rPr>
        <w:rStyle w:val="Nmerodepgina"/>
        <w:noProof/>
      </w:rPr>
      <w:t>21</w:t>
    </w:r>
    <w:r>
      <w:rPr>
        <w:rStyle w:val="Nmerodepgina"/>
      </w:rPr>
      <w:fldChar w:fldCharType="end"/>
    </w:r>
  </w:p>
  <w:p w:rsidR="00834EF3" w:rsidRPr="00E37DB5" w:rsidRDefault="00834EF3"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3234C73"/>
    <w:multiLevelType w:val="hybridMultilevel"/>
    <w:tmpl w:val="04E06EC4"/>
    <w:lvl w:ilvl="0" w:tplc="E2B4C980">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61AB3"/>
    <w:multiLevelType w:val="multilevel"/>
    <w:tmpl w:val="0416001F"/>
    <w:numStyleLink w:val="111111"/>
  </w:abstractNum>
  <w:abstractNum w:abstractNumId="31">
    <w:nsid w:val="5C1C5EC1"/>
    <w:multiLevelType w:val="multilevel"/>
    <w:tmpl w:val="0416001F"/>
    <w:numStyleLink w:val="111111"/>
  </w:abstractNum>
  <w:abstractNum w:abstractNumId="32">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3">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3"/>
  </w:num>
  <w:num w:numId="25">
    <w:abstractNumId w:val="14"/>
  </w:num>
  <w:num w:numId="26">
    <w:abstractNumId w:val="24"/>
  </w:num>
  <w:num w:numId="27">
    <w:abstractNumId w:val="27"/>
  </w:num>
  <w:num w:numId="28">
    <w:abstractNumId w:val="32"/>
  </w:num>
  <w:num w:numId="29">
    <w:abstractNumId w:val="16"/>
  </w:num>
  <w:num w:numId="30">
    <w:abstractNumId w:val="34"/>
  </w:num>
  <w:num w:numId="31">
    <w:abstractNumId w:val="17"/>
  </w:num>
  <w:num w:numId="32">
    <w:abstractNumId w:val="25"/>
  </w:num>
  <w:num w:numId="33">
    <w:abstractNumId w:val="35"/>
  </w:num>
  <w:num w:numId="34">
    <w:abstractNumId w:val="13"/>
  </w:num>
  <w:num w:numId="35">
    <w:abstractNumId w:val="23"/>
  </w:num>
  <w:num w:numId="36">
    <w:abstractNumId w:val="12"/>
  </w:num>
  <w:num w:numId="37">
    <w:abstractNumId w:val="10"/>
  </w:num>
  <w:num w:numId="38">
    <w:abstractNumId w:val="15"/>
  </w:num>
  <w:num w:numId="39">
    <w:abstractNumId w:val="31"/>
  </w:num>
  <w:num w:numId="40">
    <w:abstractNumId w:val="30"/>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9"/>
  </w:num>
  <w:num w:numId="48">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96258">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157A"/>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3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A3CBE"/>
    <w:rsid w:val="000A428A"/>
    <w:rsid w:val="000A51A2"/>
    <w:rsid w:val="000A5D88"/>
    <w:rsid w:val="000A6B83"/>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5E2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37A1"/>
    <w:rsid w:val="0019624F"/>
    <w:rsid w:val="001A2751"/>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6E15"/>
    <w:rsid w:val="001D721E"/>
    <w:rsid w:val="001E1A59"/>
    <w:rsid w:val="001E2331"/>
    <w:rsid w:val="001E25E9"/>
    <w:rsid w:val="001E3287"/>
    <w:rsid w:val="001E37E5"/>
    <w:rsid w:val="001E3B8A"/>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27BC"/>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4317"/>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77EC9"/>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30EB"/>
    <w:rsid w:val="003A701E"/>
    <w:rsid w:val="003A72A2"/>
    <w:rsid w:val="003B0439"/>
    <w:rsid w:val="003B188C"/>
    <w:rsid w:val="003B1AF5"/>
    <w:rsid w:val="003B1D84"/>
    <w:rsid w:val="003B4CBD"/>
    <w:rsid w:val="003B6352"/>
    <w:rsid w:val="003B66E0"/>
    <w:rsid w:val="003B6AD1"/>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1FD7"/>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299C"/>
    <w:rsid w:val="00523391"/>
    <w:rsid w:val="00524C3D"/>
    <w:rsid w:val="005258A2"/>
    <w:rsid w:val="00525CD2"/>
    <w:rsid w:val="005264A6"/>
    <w:rsid w:val="005269AF"/>
    <w:rsid w:val="00526E1B"/>
    <w:rsid w:val="00527ED0"/>
    <w:rsid w:val="00530759"/>
    <w:rsid w:val="00531E82"/>
    <w:rsid w:val="00532380"/>
    <w:rsid w:val="00533C06"/>
    <w:rsid w:val="00534121"/>
    <w:rsid w:val="00535CA8"/>
    <w:rsid w:val="0054036C"/>
    <w:rsid w:val="00540BDA"/>
    <w:rsid w:val="00544C1A"/>
    <w:rsid w:val="005478C6"/>
    <w:rsid w:val="00550831"/>
    <w:rsid w:val="00550EBF"/>
    <w:rsid w:val="0055210A"/>
    <w:rsid w:val="0055380C"/>
    <w:rsid w:val="005553FA"/>
    <w:rsid w:val="00555AE7"/>
    <w:rsid w:val="005577A3"/>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C6D1E"/>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6A76"/>
    <w:rsid w:val="00621F76"/>
    <w:rsid w:val="006236B2"/>
    <w:rsid w:val="006257B2"/>
    <w:rsid w:val="00626364"/>
    <w:rsid w:val="006266C5"/>
    <w:rsid w:val="00627C14"/>
    <w:rsid w:val="00631A0B"/>
    <w:rsid w:val="00631B82"/>
    <w:rsid w:val="00632189"/>
    <w:rsid w:val="0063378F"/>
    <w:rsid w:val="00633BD3"/>
    <w:rsid w:val="006344EA"/>
    <w:rsid w:val="00634B92"/>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B4CB7"/>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A36"/>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65926"/>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046"/>
    <w:rsid w:val="007D743F"/>
    <w:rsid w:val="007E166B"/>
    <w:rsid w:val="007E1E25"/>
    <w:rsid w:val="007E1E26"/>
    <w:rsid w:val="007E34BA"/>
    <w:rsid w:val="007E4DD9"/>
    <w:rsid w:val="007E51C8"/>
    <w:rsid w:val="007E601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4EF3"/>
    <w:rsid w:val="00835D31"/>
    <w:rsid w:val="00837B51"/>
    <w:rsid w:val="00841FE3"/>
    <w:rsid w:val="0084214C"/>
    <w:rsid w:val="008421AD"/>
    <w:rsid w:val="008456F4"/>
    <w:rsid w:val="0084613E"/>
    <w:rsid w:val="008465C6"/>
    <w:rsid w:val="00847F38"/>
    <w:rsid w:val="008505F3"/>
    <w:rsid w:val="00850785"/>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1F0E"/>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07E5"/>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31A3"/>
    <w:rsid w:val="0096325C"/>
    <w:rsid w:val="009658C2"/>
    <w:rsid w:val="009661C7"/>
    <w:rsid w:val="00966351"/>
    <w:rsid w:val="00966C47"/>
    <w:rsid w:val="00971D93"/>
    <w:rsid w:val="00973178"/>
    <w:rsid w:val="009732F9"/>
    <w:rsid w:val="00977967"/>
    <w:rsid w:val="00984EBE"/>
    <w:rsid w:val="00984EC7"/>
    <w:rsid w:val="0098683D"/>
    <w:rsid w:val="00986EDC"/>
    <w:rsid w:val="00991CE0"/>
    <w:rsid w:val="00994312"/>
    <w:rsid w:val="00994C1F"/>
    <w:rsid w:val="00996621"/>
    <w:rsid w:val="00996D2B"/>
    <w:rsid w:val="00997291"/>
    <w:rsid w:val="009A3778"/>
    <w:rsid w:val="009A3CD4"/>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E7DEB"/>
    <w:rsid w:val="00AF110F"/>
    <w:rsid w:val="00AF3561"/>
    <w:rsid w:val="00AF3653"/>
    <w:rsid w:val="00AF3AC4"/>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3974"/>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76C44"/>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10D5B"/>
    <w:rsid w:val="00C11251"/>
    <w:rsid w:val="00C121C0"/>
    <w:rsid w:val="00C121E4"/>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2185"/>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863"/>
    <w:rsid w:val="00D07AF9"/>
    <w:rsid w:val="00D106A6"/>
    <w:rsid w:val="00D115F7"/>
    <w:rsid w:val="00D122FD"/>
    <w:rsid w:val="00D14201"/>
    <w:rsid w:val="00D1424C"/>
    <w:rsid w:val="00D147C1"/>
    <w:rsid w:val="00D16A26"/>
    <w:rsid w:val="00D21585"/>
    <w:rsid w:val="00D2295C"/>
    <w:rsid w:val="00D23F7B"/>
    <w:rsid w:val="00D26144"/>
    <w:rsid w:val="00D27FAD"/>
    <w:rsid w:val="00D32083"/>
    <w:rsid w:val="00D32C72"/>
    <w:rsid w:val="00D3430A"/>
    <w:rsid w:val="00D3435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25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12D7"/>
    <w:rsid w:val="00F8467E"/>
    <w:rsid w:val="00F84D5D"/>
    <w:rsid w:val="00F85C02"/>
    <w:rsid w:val="00F85C85"/>
    <w:rsid w:val="00F86032"/>
    <w:rsid w:val="00F868CB"/>
    <w:rsid w:val="00F87D13"/>
    <w:rsid w:val="00F902C9"/>
    <w:rsid w:val="00F93098"/>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9625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2.xml"/><Relationship Id="rId47" Type="http://schemas.openxmlformats.org/officeDocument/2006/relationships/image" Target="media/image13.png"/><Relationship Id="rId50" Type="http://schemas.openxmlformats.org/officeDocument/2006/relationships/footer" Target="footer14.xml"/><Relationship Id="rId55" Type="http://schemas.openxmlformats.org/officeDocument/2006/relationships/footer" Target="footer17.xml"/><Relationship Id="rId63" Type="http://schemas.openxmlformats.org/officeDocument/2006/relationships/hyperlink" Target="http://www.ncbi.nlm.nih.gov/entrez/query.fcgi?cmd=Retrieve&amp;db=PubMed&amp;dopt=Citation&amp;list_uids=15090378" TargetMode="External"/><Relationship Id="rId68" Type="http://schemas.openxmlformats.org/officeDocument/2006/relationships/header" Target="header24.xml"/><Relationship Id="rId76" Type="http://schemas.openxmlformats.org/officeDocument/2006/relationships/footer" Target="footer25.xml"/><Relationship Id="rId7" Type="http://schemas.openxmlformats.org/officeDocument/2006/relationships/footnotes" Target="footnotes.xml"/><Relationship Id="rId71" Type="http://schemas.openxmlformats.org/officeDocument/2006/relationships/header" Target="head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1.png"/><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footer" Target="footer18.xml"/><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16.xml"/><Relationship Id="rId60" Type="http://schemas.openxmlformats.org/officeDocument/2006/relationships/footer" Target="footer19.xml"/><Relationship Id="rId65" Type="http://schemas.openxmlformats.org/officeDocument/2006/relationships/header" Target="header22.xml"/><Relationship Id="rId73" Type="http://schemas.openxmlformats.org/officeDocument/2006/relationships/header" Target="header27.xm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8.xml"/><Relationship Id="rId35" Type="http://schemas.openxmlformats.org/officeDocument/2006/relationships/image" Target="media/image7.png"/><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yperlink" Target="http://www.ncbi.nlm.nih.gov/entrez/query.fcgi?cmd=Retrieve&amp;db=PubMed&amp;dopt=Citation&amp;list_uids=6337002" TargetMode="External"/><Relationship Id="rId69" Type="http://schemas.openxmlformats.org/officeDocument/2006/relationships/footer" Target="footer22.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5.xml"/><Relationship Id="rId72"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image" Target="media/image10.jpeg"/><Relationship Id="rId46" Type="http://schemas.openxmlformats.org/officeDocument/2006/relationships/image" Target="media/image12.png"/><Relationship Id="rId59" Type="http://schemas.openxmlformats.org/officeDocument/2006/relationships/header" Target="header20.xml"/><Relationship Id="rId67"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header" Target="header17.xml"/><Relationship Id="rId62" Type="http://schemas.openxmlformats.org/officeDocument/2006/relationships/footer" Target="footer20.xml"/><Relationship Id="rId70" Type="http://schemas.openxmlformats.org/officeDocument/2006/relationships/header" Target="header25.xml"/><Relationship Id="rId75"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EE58-0753-4C85-BC07-5885AB17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3863</TotalTime>
  <Pages>46</Pages>
  <Words>5821</Words>
  <Characters>31437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37184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31</cp:revision>
  <cp:lastPrinted>2009-11-04T00:12:00Z</cp:lastPrinted>
  <dcterms:created xsi:type="dcterms:W3CDTF">2015-01-13T16:23:00Z</dcterms:created>
  <dcterms:modified xsi:type="dcterms:W3CDTF">2015-07-15T16:52:00Z</dcterms:modified>
</cp:coreProperties>
</file>