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160" w:before="0"/>
        <w:jc w:val="center"/>
      </w:pPr>
      <w:r>
        <w:rPr>
          <w:rFonts w:ascii="Arial" w:cs="Arial" w:eastAsia="Arial" w:hAnsi="Arial"/>
          <w:b/>
          <w:bCs/>
          <w:color w:val="7F77DD"/>
          <w:sz w:val="72"/>
          <w:szCs w:val="72"/>
        </w:rPr>
        <w:t xml:space="preserve">SpatialVision</w:t>
      </w:r>
    </w:p>
    <w:p>
      <w:pPr>
        <w:spacing w:after="80" w:before="0"/>
        <w:jc w:val="center"/>
      </w:pPr>
      <w:r>
        <w:rPr>
          <w:rFonts w:ascii="Arial" w:cs="Arial" w:eastAsia="Arial" w:hAnsi="Arial"/>
          <w:color w:val="5A5870"/>
          <w:sz w:val="32"/>
          <w:szCs w:val="32"/>
        </w:rPr>
        <w:t xml:space="preserve">Spatial Transcriptomics Analysis Platform</w:t>
      </w:r>
    </w:p>
    <w:p>
      <w:pPr>
        <w:pBdr>
          <w:bottom w:val="single" w:color="7F77DD" w:sz="4" w:space="1"/>
        </w:pBdr>
        <w:spacing w:after="160" w:before="160"/>
      </w:pPr>
      <w:r>
        <w:t xml:space="preserve"/>
      </w:r>
    </w:p>
    <w:p>
      <w:pPr>
        <w:spacing w:after="80" w:before="160"/>
        <w:jc w:val="center"/>
      </w:pPr>
      <w:r>
        <w:rPr>
          <w:rFonts w:ascii="Arial" w:cs="Arial" w:eastAsia="Arial" w:hAnsi="Arial"/>
          <w:b/>
          <w:bCs/>
          <w:color w:val="1A1A2E"/>
          <w:sz w:val="28"/>
          <w:szCs w:val="28"/>
        </w:rPr>
        <w:t xml:space="preserve">Product Plan &amp; Technical Architecture</w:t>
      </w:r>
    </w:p>
    <w:p>
      <w:pPr>
        <w:spacing w:after="80" w:before="0"/>
        <w:jc w:val="center"/>
      </w:pPr>
      <w:r>
        <w:rPr>
          <w:rFonts w:ascii="Arial" w:cs="Arial" w:eastAsia="Arial" w:hAnsi="Arial"/>
          <w:i/>
          <w:iCs/>
          <w:color w:val="5A5870"/>
          <w:sz w:val="22"/>
          <w:szCs w:val="22"/>
        </w:rPr>
        <w:t xml:space="preserve">Version 1.0  |  May 2026  |  Confidential</w:t>
      </w:r>
    </w:p>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7F77DD" w:sz="1"/>
              <w:left w:val="single" w:color="7F77DD" w:sz="1"/>
              <w:bottom w:val="single" w:color="7F77DD" w:sz="1"/>
              <w:right w:val="single" w:color="7F77DD" w:sz="1"/>
            </w:tcBorders>
            <w:shd w:fill="7F77DD" w:val="clear"/>
            <w:tcMar>
              <w:top w:type="dxa" w:w="100"/>
              <w:left w:type="dxa" w:w="140"/>
              <w:bottom w:type="dxa" w:w="100"/>
              <w:right w:type="dxa" w:w="140"/>
            </w:tcMar>
            <w:vAlign w:val="center"/>
          </w:tcPr>
          <w:p>
            <w:r>
              <w:rPr>
                <w:rFonts w:ascii="Arial" w:cs="Arial" w:eastAsia="Arial" w:hAnsi="Arial"/>
                <w:b/>
                <w:bCs/>
                <w:color w:val="FFFFFF"/>
                <w:sz w:val="20"/>
                <w:szCs w:val="20"/>
              </w:rPr>
              <w:t xml:space="preserve">VISION</w:t>
            </w:r>
          </w:p>
        </w:tc>
        <w:tc>
          <w:tcPr>
            <w:tcW w:type="dxa" w:w="8860"/>
            <w:tcBorders>
              <w:top w:val="single" w:color="7F77DD" w:sz="1"/>
              <w:left w:val="single" w:color="7F77DD" w:sz="1"/>
              <w:bottom w:val="single" w:color="7F77DD" w:sz="1"/>
              <w:right w:val="single" w:color="7F77DD" w:sz="1"/>
            </w:tcBorders>
            <w:shd w:fill="F4F3FF" w:val="clear"/>
            <w:tcMar>
              <w:top w:type="dxa" w:w="100"/>
              <w:left w:type="dxa" w:w="140"/>
              <w:bottom w:type="dxa" w:w="100"/>
              <w:right w:type="dxa" w:w="140"/>
            </w:tcMar>
          </w:tcPr>
          <w:p>
            <w:r>
              <w:rPr>
                <w:rFonts w:ascii="Arial" w:cs="Arial" w:eastAsia="Arial" w:hAnsi="Arial"/>
                <w:color w:val="1A1A2E"/>
                <w:sz w:val="22"/>
                <w:szCs w:val="22"/>
              </w:rPr>
              <w:t xml:space="preserve">Transform spatial transcriptomics analysis from a 3-week manual coding exercise into a 40-minute automated workflow — making it accessible to any lab, regardless of bioinformatics expertise.</w:t>
            </w:r>
          </w:p>
        </w:tc>
      </w:tr>
    </w:tbl>
    <w:p>
      <w:pPr>
        <w:spacing w:after="960" w:before="0"/>
      </w:pPr>
      <w:r>
        <w:t xml:space="preserve"/>
      </w:r>
    </w:p>
    <w:p>
      <w:r>
        <w:br w:type="page"/>
      </w:r>
    </w:p>
    <w:p>
      <w:pPr>
        <w:pStyle w:val="Heading1"/>
        <w:spacing w:after="160" w:before="360"/>
      </w:pPr>
      <w:r>
        <w:rPr>
          <w:rFonts w:ascii="Arial" w:cs="Arial" w:eastAsia="Arial" w:hAnsi="Arial"/>
          <w:b/>
          <w:bCs/>
          <w:color w:val="1A1A2E"/>
          <w:sz w:val="36"/>
          <w:szCs w:val="36"/>
        </w:rPr>
        <w:t xml:space="preserve">1. Executive Summary</w:t>
      </w:r>
    </w:p>
    <w:p>
      <w:pPr>
        <w:pBdr>
          <w:bottom w:val="single" w:color="7F77DD" w:sz="4" w:space="1"/>
        </w:pBdr>
        <w:spacing w:after="160" w:before="160"/>
      </w:pPr>
      <w:r>
        <w:t xml:space="preserve"/>
      </w:r>
    </w:p>
    <w:p>
      <w:pPr>
        <w:spacing w:after="120" w:before="80"/>
      </w:pPr>
      <w:r>
        <w:rPr>
          <w:rFonts w:ascii="Arial" w:cs="Arial" w:eastAsia="Arial" w:hAnsi="Arial"/>
          <w:b w:val="false"/>
          <w:bCs w:val="false"/>
          <w:i w:val="false"/>
          <w:iCs w:val="false"/>
          <w:color w:val="5A5870"/>
          <w:sz w:val="22"/>
          <w:szCs w:val="22"/>
        </w:rPr>
        <w:t xml:space="preserve">SpatialVision is a cloud-based SaaS platform that automates the analysis of spatial transcriptomics data — the technology that maps gene expression to exact physical locations within a tissue. Where researchers today spend 2-3 weeks writing custom R/Python pipelines per experiment, SpatialVision delivers the same results in under 60 minutes with no coding required.</w:t>
      </w:r>
    </w:p>
    <w:p>
      <w:pPr>
        <w:spacing w:after="120" w:before="0"/>
      </w:pPr>
      <w:r>
        <w:t xml:space="preserve"/>
      </w:r>
    </w:p>
    <w:p>
      <w:pPr>
        <w:pStyle w:val="Heading2"/>
        <w:spacing w:after="120" w:before="280"/>
      </w:pPr>
      <w:r>
        <w:rPr>
          <w:rFonts w:ascii="Arial" w:cs="Arial" w:eastAsia="Arial" w:hAnsi="Arial"/>
          <w:b/>
          <w:bCs/>
          <w:color w:val="7F77DD"/>
          <w:sz w:val="28"/>
          <w:szCs w:val="28"/>
        </w:rPr>
        <w:t xml:space="preserve">1.1 The Problem</w:t>
      </w:r>
    </w:p>
    <w:p>
      <w:pPr>
        <w:spacing w:after="120" w:before="80"/>
      </w:pPr>
      <w:r>
        <w:rPr>
          <w:rFonts w:ascii="Arial" w:cs="Arial" w:eastAsia="Arial" w:hAnsi="Arial"/>
          <w:b w:val="false"/>
          <w:bCs w:val="false"/>
          <w:i w:val="false"/>
          <w:iCs w:val="false"/>
          <w:color w:val="5A5870"/>
          <w:sz w:val="22"/>
          <w:szCs w:val="22"/>
        </w:rPr>
        <w:t xml:space="preserve">Spatial transcriptomics instruments (10x Visium, Xenium, NanoString CosMx, Vizgen MERSCOPE) generate enormous data files — 2 to 200 GB per run — in incompatible formats. Each platform requires a different analysis workflow. A lab running two instruments must maintain two separate codebases and cannot compare results directly. The bottleneck is not the experiment — it is the analysis.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0CEF5" w:sz="1"/>
              <w:left w:val="single" w:color="D0CEF5" w:sz="1"/>
              <w:bottom w:val="single" w:color="D0CEF5" w:sz="1"/>
              <w:right w:val="single" w:color="D0CEF5" w:sz="1"/>
            </w:tcBorders>
            <w:shd w:fill="7F77DD" w:val="clear"/>
            <w:tcMar>
              <w:top w:type="dxa" w:w="100"/>
              <w:left w:type="dxa" w:w="140"/>
              <w:bottom w:type="dxa" w:w="100"/>
              <w:right w:type="dxa" w:w="140"/>
            </w:tcMar>
          </w:tcPr>
          <w:p>
            <w:r>
              <w:rPr>
                <w:rFonts w:ascii="Arial" w:cs="Arial" w:eastAsia="Arial" w:hAnsi="Arial"/>
                <w:b/>
                <w:bCs/>
                <w:color w:val="FFFFFF"/>
                <w:sz w:val="20"/>
                <w:szCs w:val="20"/>
              </w:rPr>
              <w:t xml:space="preserve">Problem</w:t>
            </w:r>
          </w:p>
        </w:tc>
        <w:tc>
          <w:tcPr>
            <w:tcW w:type="dxa" w:w="3120"/>
            <w:tcBorders>
              <w:top w:val="single" w:color="D0CEF5" w:sz="1"/>
              <w:left w:val="single" w:color="D0CEF5" w:sz="1"/>
              <w:bottom w:val="single" w:color="D0CEF5" w:sz="1"/>
              <w:right w:val="single" w:color="D0CEF5" w:sz="1"/>
            </w:tcBorders>
            <w:shd w:fill="7F77DD" w:val="clear"/>
            <w:tcMar>
              <w:top w:type="dxa" w:w="100"/>
              <w:left w:type="dxa" w:w="140"/>
              <w:bottom w:type="dxa" w:w="100"/>
              <w:right w:type="dxa" w:w="140"/>
            </w:tcMar>
          </w:tcPr>
          <w:p>
            <w:r>
              <w:rPr>
                <w:rFonts w:ascii="Arial" w:cs="Arial" w:eastAsia="Arial" w:hAnsi="Arial"/>
                <w:b/>
                <w:bCs/>
                <w:color w:val="FFFFFF"/>
                <w:sz w:val="20"/>
                <w:szCs w:val="20"/>
              </w:rPr>
              <w:t xml:space="preserve">Current solution</w:t>
            </w:r>
          </w:p>
        </w:tc>
        <w:tc>
          <w:tcPr>
            <w:tcW w:type="dxa" w:w="3120"/>
            <w:tcBorders>
              <w:top w:val="single" w:color="D0CEF5" w:sz="1"/>
              <w:left w:val="single" w:color="D0CEF5" w:sz="1"/>
              <w:bottom w:val="single" w:color="D0CEF5" w:sz="1"/>
              <w:right w:val="single" w:color="D0CEF5" w:sz="1"/>
            </w:tcBorders>
            <w:shd w:fill="7F77DD" w:val="clear"/>
            <w:tcMar>
              <w:top w:type="dxa" w:w="100"/>
              <w:left w:type="dxa" w:w="140"/>
              <w:bottom w:type="dxa" w:w="100"/>
              <w:right w:type="dxa" w:w="140"/>
            </w:tcMar>
          </w:tcPr>
          <w:p>
            <w:r>
              <w:rPr>
                <w:rFonts w:ascii="Arial" w:cs="Arial" w:eastAsia="Arial" w:hAnsi="Arial"/>
                <w:b/>
                <w:bCs/>
                <w:color w:val="FFFFFF"/>
                <w:sz w:val="20"/>
                <w:szCs w:val="20"/>
              </w:rPr>
              <w:t xml:space="preserve">SpatialVision solution</w:t>
            </w:r>
          </w:p>
        </w:tc>
      </w:tr>
      <w:tr>
        <w:trPr>
          <w:tblHeader w:val="false"/>
        </w:trPr>
        <w:tc>
          <w:tcPr>
            <w:tcW w:type="dxa" w:w="312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Analysis takes 2-3 weeks</w:t>
            </w:r>
          </w:p>
        </w:tc>
        <w:tc>
          <w:tcPr>
            <w:tcW w:type="dxa" w:w="312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Manual Scanpy scripts</w:t>
            </w:r>
          </w:p>
        </w:tc>
        <w:tc>
          <w:tcPr>
            <w:tcW w:type="dxa" w:w="312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bCs/>
                <w:color w:val="1D9E75"/>
                <w:sz w:val="22"/>
                <w:szCs w:val="22"/>
              </w:rPr>
              <w:t xml:space="preserve">Automated pipeline in 60 min</w:t>
            </w:r>
          </w:p>
        </w:tc>
      </w:tr>
      <w:tr>
        <w:trPr>
          <w:tblHeader w:val="false"/>
        </w:trPr>
        <w:tc>
          <w:tcPr>
            <w:tcW w:type="dxa" w:w="312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Platform-locked tools</w:t>
            </w:r>
          </w:p>
        </w:tc>
        <w:tc>
          <w:tcPr>
            <w:tcW w:type="dxa" w:w="312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One tool per instrument</w:t>
            </w:r>
          </w:p>
        </w:tc>
        <w:tc>
          <w:tcPr>
            <w:tcW w:type="dxa" w:w="312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bCs/>
                <w:color w:val="1D9E75"/>
                <w:sz w:val="22"/>
                <w:szCs w:val="22"/>
              </w:rPr>
              <w:t xml:space="preserve">Universal 5-platform ingestion</w:t>
            </w:r>
          </w:p>
        </w:tc>
      </w:tr>
      <w:tr>
        <w:trPr>
          <w:tblHeader w:val="false"/>
        </w:trPr>
        <w:tc>
          <w:tcPr>
            <w:tcW w:type="dxa" w:w="312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No biological interpretation</w:t>
            </w:r>
          </w:p>
        </w:tc>
        <w:tc>
          <w:tcPr>
            <w:tcW w:type="dxa" w:w="312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Researcher guesses</w:t>
            </w:r>
          </w:p>
        </w:tc>
        <w:tc>
          <w:tcPr>
            <w:tcW w:type="dxa" w:w="312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bCs/>
                <w:color w:val="1D9E75"/>
                <w:sz w:val="22"/>
                <w:szCs w:val="22"/>
              </w:rPr>
              <w:t xml:space="preserve">AI interpretation via Claude</w:t>
            </w:r>
          </w:p>
        </w:tc>
      </w:tr>
      <w:tr>
        <w:trPr>
          <w:tblHeader w:val="false"/>
        </w:trPr>
        <w:tc>
          <w:tcPr>
            <w:tcW w:type="dxa" w:w="312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No shareable reports</w:t>
            </w:r>
          </w:p>
        </w:tc>
        <w:tc>
          <w:tcPr>
            <w:tcW w:type="dxa" w:w="312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Raw script outputs</w:t>
            </w:r>
          </w:p>
        </w:tc>
        <w:tc>
          <w:tcPr>
            <w:tcW w:type="dxa" w:w="312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bCs/>
                <w:color w:val="1D9E75"/>
                <w:sz w:val="22"/>
                <w:szCs w:val="22"/>
              </w:rPr>
              <w:t xml:space="preserve">PDF + HTML clinical reports</w:t>
            </w:r>
          </w:p>
        </w:tc>
      </w:tr>
      <w:tr>
        <w:trPr>
          <w:tblHeader w:val="false"/>
        </w:trPr>
        <w:tc>
          <w:tcPr>
            <w:tcW w:type="dxa" w:w="312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No team collaboration</w:t>
            </w:r>
          </w:p>
        </w:tc>
        <w:tc>
          <w:tcPr>
            <w:tcW w:type="dxa" w:w="312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Email and Slack</w:t>
            </w:r>
          </w:p>
        </w:tc>
        <w:tc>
          <w:tcPr>
            <w:tcW w:type="dxa" w:w="312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bCs/>
                <w:color w:val="1D9E75"/>
                <w:sz w:val="22"/>
                <w:szCs w:val="22"/>
              </w:rPr>
              <w:t xml:space="preserve">Full RBAC + audit trail</w:t>
            </w:r>
          </w:p>
        </w:tc>
      </w:tr>
    </w:tbl>
    <w:p>
      <w:pPr>
        <w:spacing w:after="120" w:before="0"/>
      </w:pPr>
      <w:r>
        <w:t xml:space="preserve"/>
      </w:r>
    </w:p>
    <w:p>
      <w:pPr>
        <w:pStyle w:val="Heading2"/>
        <w:spacing w:after="120" w:before="280"/>
      </w:pPr>
      <w:r>
        <w:rPr>
          <w:rFonts w:ascii="Arial" w:cs="Arial" w:eastAsia="Arial" w:hAnsi="Arial"/>
          <w:b/>
          <w:bCs/>
          <w:color w:val="7F77DD"/>
          <w:sz w:val="28"/>
          <w:szCs w:val="28"/>
        </w:rPr>
        <w:t xml:space="preserve">1.2 The Opportunity</w:t>
      </w:r>
    </w:p>
    <w:p>
      <w:pPr>
        <w:spacing w:after="120" w:before="80"/>
      </w:pPr>
      <w:r>
        <w:rPr>
          <w:rFonts w:ascii="Arial" w:cs="Arial" w:eastAsia="Arial" w:hAnsi="Arial"/>
          <w:b w:val="false"/>
          <w:bCs w:val="false"/>
          <w:i w:val="false"/>
          <w:iCs w:val="false"/>
          <w:color w:val="5A5870"/>
          <w:sz w:val="22"/>
          <w:szCs w:val="22"/>
        </w:rPr>
        <w:t xml:space="preserve">The global spatial genomics market is projected to reach $2.4 billion by 2028, growing at 18% CAGR. The instrument market is already large and accelerating — but the software layer that makes those instruments useful is fragmented, siloed, and built for PhD bioinformaticians. No platform-agnostic, no-code, AI-interpreted solution exists. SpatialVision fills that gap.</w:t>
      </w:r>
    </w:p>
    <w:p>
      <w:pPr>
        <w:spacing w:after="120" w:before="0"/>
      </w:pPr>
      <w:r>
        <w:t xml:space="preserve"/>
      </w:r>
    </w:p>
    <w:p>
      <w:pPr>
        <w:pStyle w:val="Heading2"/>
        <w:spacing w:after="120" w:before="280"/>
      </w:pPr>
      <w:r>
        <w:rPr>
          <w:rFonts w:ascii="Arial" w:cs="Arial" w:eastAsia="Arial" w:hAnsi="Arial"/>
          <w:b/>
          <w:bCs/>
          <w:color w:val="7F77DD"/>
          <w:sz w:val="28"/>
          <w:szCs w:val="28"/>
        </w:rPr>
        <w:t xml:space="preserve">1.3 Business Model</w:t>
      </w:r>
    </w:p>
    <w:p>
      <w:pPr>
        <w:spacing w:after="120" w:before="80"/>
      </w:pPr>
      <w:r>
        <w:rPr>
          <w:rFonts w:ascii="Arial" w:cs="Arial" w:eastAsia="Arial" w:hAnsi="Arial"/>
          <w:b w:val="false"/>
          <w:bCs w:val="false"/>
          <w:i w:val="false"/>
          <w:iCs w:val="false"/>
          <w:color w:val="5A5870"/>
          <w:sz w:val="22"/>
          <w:szCs w:val="22"/>
        </w:rPr>
        <w:t xml:space="preserve">SaaS subscription with three tiers targeting different buyer segments: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80"/>
        <w:gridCol w:w="3280"/>
      </w:tblGrid>
      <w:tr>
        <w:trPr>
          <w:tblHeader/>
        </w:trPr>
        <w:tc>
          <w:tcPr>
            <w:tcW w:type="dxa" w:w="2000"/>
            <w:tcBorders>
              <w:top w:val="single" w:color="D0CEF5" w:sz="1"/>
              <w:left w:val="single" w:color="D0CEF5" w:sz="1"/>
              <w:bottom w:val="single" w:color="D0CEF5" w:sz="1"/>
              <w:right w:val="single" w:color="D0CEF5" w:sz="1"/>
            </w:tcBorders>
            <w:shd w:fill="7F77DD" w:val="clear"/>
            <w:tcMar>
              <w:top w:type="dxa" w:w="100"/>
              <w:left w:type="dxa" w:w="140"/>
              <w:bottom w:type="dxa" w:w="100"/>
              <w:right w:type="dxa" w:w="140"/>
            </w:tcMar>
          </w:tcPr>
          <w:p>
            <w:r>
              <w:rPr>
                <w:rFonts w:ascii="Arial" w:cs="Arial" w:eastAsia="Arial" w:hAnsi="Arial"/>
                <w:b/>
                <w:bCs/>
                <w:color w:val="FFFFFF"/>
                <w:sz w:val="20"/>
                <w:szCs w:val="20"/>
              </w:rPr>
              <w:t xml:space="preserve">Plan</w:t>
            </w:r>
          </w:p>
        </w:tc>
        <w:tc>
          <w:tcPr>
            <w:tcW w:type="dxa" w:w="1800"/>
            <w:tcBorders>
              <w:top w:val="single" w:color="D0CEF5" w:sz="1"/>
              <w:left w:val="single" w:color="D0CEF5" w:sz="1"/>
              <w:bottom w:val="single" w:color="D0CEF5" w:sz="1"/>
              <w:right w:val="single" w:color="D0CEF5" w:sz="1"/>
            </w:tcBorders>
            <w:shd w:fill="7F77DD" w:val="clear"/>
            <w:tcMar>
              <w:top w:type="dxa" w:w="100"/>
              <w:left w:type="dxa" w:w="140"/>
              <w:bottom w:type="dxa" w:w="100"/>
              <w:right w:type="dxa" w:w="140"/>
            </w:tcMar>
          </w:tcPr>
          <w:p>
            <w:r>
              <w:rPr>
                <w:rFonts w:ascii="Arial" w:cs="Arial" w:eastAsia="Arial" w:hAnsi="Arial"/>
                <w:b/>
                <w:bCs/>
                <w:color w:val="FFFFFF"/>
                <w:sz w:val="20"/>
                <w:szCs w:val="20"/>
              </w:rPr>
              <w:t xml:space="preserve">Price</w:t>
            </w:r>
          </w:p>
        </w:tc>
        <w:tc>
          <w:tcPr>
            <w:tcW w:type="dxa" w:w="2280"/>
            <w:tcBorders>
              <w:top w:val="single" w:color="D0CEF5" w:sz="1"/>
              <w:left w:val="single" w:color="D0CEF5" w:sz="1"/>
              <w:bottom w:val="single" w:color="D0CEF5" w:sz="1"/>
              <w:right w:val="single" w:color="D0CEF5" w:sz="1"/>
            </w:tcBorders>
            <w:shd w:fill="7F77DD" w:val="clear"/>
            <w:tcMar>
              <w:top w:type="dxa" w:w="100"/>
              <w:left w:type="dxa" w:w="140"/>
              <w:bottom w:type="dxa" w:w="100"/>
              <w:right w:type="dxa" w:w="140"/>
            </w:tcMar>
          </w:tcPr>
          <w:p>
            <w:r>
              <w:rPr>
                <w:rFonts w:ascii="Arial" w:cs="Arial" w:eastAsia="Arial" w:hAnsi="Arial"/>
                <w:b/>
                <w:bCs/>
                <w:color w:val="FFFFFF"/>
                <w:sz w:val="20"/>
                <w:szCs w:val="20"/>
              </w:rPr>
              <w:t xml:space="preserve">Target</w:t>
            </w:r>
          </w:p>
        </w:tc>
        <w:tc>
          <w:tcPr>
            <w:tcW w:type="dxa" w:w="3280"/>
            <w:tcBorders>
              <w:top w:val="single" w:color="D0CEF5" w:sz="1"/>
              <w:left w:val="single" w:color="D0CEF5" w:sz="1"/>
              <w:bottom w:val="single" w:color="D0CEF5" w:sz="1"/>
              <w:right w:val="single" w:color="D0CEF5" w:sz="1"/>
            </w:tcBorders>
            <w:shd w:fill="7F77DD" w:val="clear"/>
            <w:tcMar>
              <w:top w:type="dxa" w:w="100"/>
              <w:left w:type="dxa" w:w="140"/>
              <w:bottom w:type="dxa" w:w="100"/>
              <w:right w:type="dxa" w:w="140"/>
            </w:tcMar>
          </w:tcPr>
          <w:p>
            <w:r>
              <w:rPr>
                <w:rFonts w:ascii="Arial" w:cs="Arial" w:eastAsia="Arial" w:hAnsi="Arial"/>
                <w:b/>
                <w:bCs/>
                <w:color w:val="FFFFFF"/>
                <w:sz w:val="20"/>
                <w:szCs w:val="20"/>
              </w:rPr>
              <w:t xml:space="preserve">Key features</w:t>
            </w:r>
          </w:p>
        </w:tc>
      </w:tr>
      <w:tr>
        <w:trPr>
          <w:tblHeader w:val="false"/>
        </w:trPr>
        <w:tc>
          <w:tcPr>
            <w:tcW w:type="dxa" w:w="20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Academic</w:t>
            </w:r>
          </w:p>
        </w:tc>
        <w:tc>
          <w:tcPr>
            <w:tcW w:type="dxa" w:w="18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bCs/>
                <w:color w:val="1D9E75"/>
                <w:sz w:val="22"/>
                <w:szCs w:val="22"/>
              </w:rPr>
              <w:t xml:space="preserve">$299/mo</w:t>
            </w:r>
          </w:p>
        </w:tc>
        <w:tc>
          <w:tcPr>
            <w:tcW w:type="dxa" w:w="228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University labs</w:t>
            </w:r>
          </w:p>
        </w:tc>
        <w:tc>
          <w:tcPr>
            <w:tcW w:type="dxa" w:w="328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5 samples, 100 GB, 5 seats</w:t>
            </w:r>
          </w:p>
        </w:tc>
      </w:tr>
      <w:tr>
        <w:trPr>
          <w:tblHeader w:val="false"/>
        </w:trPr>
        <w:tc>
          <w:tcPr>
            <w:tcW w:type="dxa" w:w="20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Pro</w:t>
            </w:r>
          </w:p>
        </w:tc>
        <w:tc>
          <w:tcPr>
            <w:tcW w:type="dxa" w:w="18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bCs/>
                <w:color w:val="7F77DD"/>
                <w:sz w:val="22"/>
                <w:szCs w:val="22"/>
              </w:rPr>
              <w:t xml:space="preserve">$899/mo</w:t>
            </w:r>
          </w:p>
        </w:tc>
        <w:tc>
          <w:tcPr>
            <w:tcW w:type="dxa" w:w="228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Biotech, translational teams</w:t>
            </w:r>
          </w:p>
        </w:tc>
        <w:tc>
          <w:tcPr>
            <w:tcW w:type="dxa" w:w="328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15 samples, 500 GB, 15 seats</w:t>
            </w:r>
          </w:p>
        </w:tc>
      </w:tr>
      <w:tr>
        <w:trPr>
          <w:tblHeader w:val="false"/>
        </w:trPr>
        <w:tc>
          <w:tcPr>
            <w:tcW w:type="dxa" w:w="20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Enterprise</w:t>
            </w:r>
          </w:p>
        </w:tc>
        <w:tc>
          <w:tcPr>
            <w:tcW w:type="dxa" w:w="18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bCs/>
                <w:color w:val="D85A30"/>
                <w:sz w:val="22"/>
                <w:szCs w:val="22"/>
              </w:rPr>
              <w:t xml:space="preserve">$3,500+/mo</w:t>
            </w:r>
          </w:p>
        </w:tc>
        <w:tc>
          <w:tcPr>
            <w:tcW w:type="dxa" w:w="228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Pharma, CROs, hospitals</w:t>
            </w:r>
          </w:p>
        </w:tc>
        <w:tc>
          <w:tcPr>
            <w:tcW w:type="dxa" w:w="328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Unlimited + HIPAA BAA + CSM</w:t>
            </w:r>
          </w:p>
        </w:tc>
      </w:tr>
    </w:tbl>
    <w:p>
      <w:r>
        <w:br w:type="page"/>
      </w:r>
    </w:p>
    <w:p>
      <w:pPr>
        <w:pStyle w:val="Heading1"/>
        <w:spacing w:after="160" w:before="360"/>
      </w:pPr>
      <w:r>
        <w:rPr>
          <w:rFonts w:ascii="Arial" w:cs="Arial" w:eastAsia="Arial" w:hAnsi="Arial"/>
          <w:b/>
          <w:bCs/>
          <w:color w:val="1A1A2E"/>
          <w:sz w:val="36"/>
          <w:szCs w:val="36"/>
        </w:rPr>
        <w:t xml:space="preserve">2. Product Overview</w:t>
      </w:r>
    </w:p>
    <w:p>
      <w:pPr>
        <w:pBdr>
          <w:bottom w:val="single" w:color="7F77DD" w:sz="4" w:space="1"/>
        </w:pBdr>
        <w:spacing w:after="160" w:before="160"/>
      </w:pPr>
      <w:r>
        <w:t xml:space="preserve"/>
      </w:r>
    </w:p>
    <w:p>
      <w:pPr>
        <w:pStyle w:val="Heading2"/>
        <w:spacing w:after="120" w:before="280"/>
      </w:pPr>
      <w:r>
        <w:rPr>
          <w:rFonts w:ascii="Arial" w:cs="Arial" w:eastAsia="Arial" w:hAnsi="Arial"/>
          <w:b/>
          <w:bCs/>
          <w:color w:val="7F77DD"/>
          <w:sz w:val="28"/>
          <w:szCs w:val="28"/>
        </w:rPr>
        <w:t xml:space="preserve">2.1 Core Features</w:t>
      </w:r>
    </w:p>
    <w:p>
      <w:pPr>
        <w:spacing w:after="120" w:before="80"/>
      </w:pPr>
      <w:r>
        <w:rPr>
          <w:rFonts w:ascii="Arial" w:cs="Arial" w:eastAsia="Arial" w:hAnsi="Arial"/>
          <w:b w:val="false"/>
          <w:bCs w:val="false"/>
          <w:i w:val="false"/>
          <w:iCs w:val="false"/>
          <w:color w:val="5A5870"/>
          <w:sz w:val="22"/>
          <w:szCs w:val="22"/>
        </w:rPr>
        <w:t xml:space="preserve">SpatialVision consists of five integrated modules:</w:t>
      </w:r>
    </w:p>
    <w:p>
      <w:pPr>
        <w:spacing w:after="120" w:before="0"/>
      </w:pPr>
      <w:r>
        <w:t xml:space="preserve"/>
      </w:r>
    </w:p>
    <w:p>
      <w:pPr>
        <w:pStyle w:val="Heading3"/>
        <w:spacing w:after="80" w:before="200"/>
      </w:pPr>
      <w:r>
        <w:rPr>
          <w:rFonts w:ascii="Arial" w:cs="Arial" w:eastAsia="Arial" w:hAnsi="Arial"/>
          <w:b/>
          <w:bCs/>
          <w:color w:val="1A1A2E"/>
          <w:sz w:val="24"/>
          <w:szCs w:val="24"/>
        </w:rPr>
        <w:t xml:space="preserve">Explorer</w:t>
      </w:r>
    </w:p>
    <w:p>
      <w:pPr>
        <w:spacing w:after="120" w:before="80"/>
      </w:pPr>
      <w:r>
        <w:rPr>
          <w:rFonts w:ascii="Arial" w:cs="Arial" w:eastAsia="Arial" w:hAnsi="Arial"/>
          <w:b w:val="false"/>
          <w:bCs w:val="false"/>
          <w:i w:val="false"/>
          <w:iCs w:val="false"/>
          <w:color w:val="5A5870"/>
          <w:sz w:val="22"/>
          <w:szCs w:val="22"/>
        </w:rPr>
        <w:t xml:space="preserve">Interactive tissue map viewer with real-time gene expression overlays. Researchers click any spot on the tissue image to see gene expression values and cell type identity. Cluster highlighting, expression threshold slider, zoom controls, and a WebGL-rendered canvas handle datasets with 15,000+ spots smoothly in the browser.</w:t>
      </w:r>
    </w:p>
    <w:p>
      <w:pPr>
        <w:spacing w:after="120" w:before="0"/>
      </w:pPr>
      <w:r>
        <w:t xml:space="preserve"/>
      </w:r>
    </w:p>
    <w:p>
      <w:pPr>
        <w:pStyle w:val="Heading3"/>
        <w:spacing w:after="80" w:before="200"/>
      </w:pPr>
      <w:r>
        <w:rPr>
          <w:rFonts w:ascii="Arial" w:cs="Arial" w:eastAsia="Arial" w:hAnsi="Arial"/>
          <w:b/>
          <w:bCs/>
          <w:color w:val="1A1A2E"/>
          <w:sz w:val="24"/>
          <w:szCs w:val="24"/>
        </w:rPr>
        <w:t xml:space="preserve">Pipeline</w:t>
      </w:r>
    </w:p>
    <w:p>
      <w:pPr>
        <w:spacing w:after="120" w:before="80"/>
      </w:pPr>
      <w:r>
        <w:rPr>
          <w:rFonts w:ascii="Arial" w:cs="Arial" w:eastAsia="Arial" w:hAnsi="Arial"/>
          <w:b w:val="false"/>
          <w:bCs w:val="false"/>
          <w:i w:val="false"/>
          <w:iCs w:val="false"/>
          <w:color w:val="5A5870"/>
          <w:sz w:val="22"/>
          <w:szCs w:val="22"/>
        </w:rPr>
        <w:t xml:space="preserve">Eight-step automated analysis pipeline running on GPU-accelerated EC2 workers (AWS G4dn instances). The frontend polls the backend every 3 seconds for live progress — progress bars and terminal logs reflect real computation from the Celery worker, not a timer. Each step writes its status to PostgreSQL the moment it completes.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800"/>
        <w:gridCol w:w="4040"/>
        <w:gridCol w:w="2000"/>
      </w:tblGrid>
      <w:tr>
        <w:trPr>
          <w:tblHeader/>
        </w:trPr>
        <w:tc>
          <w:tcPr>
            <w:tcW w:type="dxa" w:w="520"/>
            <w:tcBorders>
              <w:top w:val="single" w:color="D0CEF5" w:sz="1"/>
              <w:left w:val="single" w:color="D0CEF5" w:sz="1"/>
              <w:bottom w:val="single" w:color="D0CEF5" w:sz="1"/>
              <w:right w:val="single" w:color="D0CEF5" w:sz="1"/>
            </w:tcBorders>
            <w:shd w:fill="7F77DD"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2800"/>
            <w:tcBorders>
              <w:top w:val="single" w:color="D0CEF5" w:sz="1"/>
              <w:left w:val="single" w:color="D0CEF5" w:sz="1"/>
              <w:bottom w:val="single" w:color="D0CEF5" w:sz="1"/>
              <w:right w:val="single" w:color="D0CEF5" w:sz="1"/>
            </w:tcBorders>
            <w:shd w:fill="7F77DD" w:val="clear"/>
            <w:tcMar>
              <w:top w:type="dxa" w:w="100"/>
              <w:left w:type="dxa" w:w="140"/>
              <w:bottom w:type="dxa" w:w="100"/>
              <w:right w:type="dxa" w:w="140"/>
            </w:tcMar>
          </w:tcPr>
          <w:p>
            <w:r>
              <w:rPr>
                <w:rFonts w:ascii="Arial" w:cs="Arial" w:eastAsia="Arial" w:hAnsi="Arial"/>
                <w:b/>
                <w:bCs/>
                <w:color w:val="FFFFFF"/>
                <w:sz w:val="20"/>
                <w:szCs w:val="20"/>
              </w:rPr>
              <w:t xml:space="preserve">Name</w:t>
            </w:r>
          </w:p>
        </w:tc>
        <w:tc>
          <w:tcPr>
            <w:tcW w:type="dxa" w:w="4040"/>
            <w:tcBorders>
              <w:top w:val="single" w:color="D0CEF5" w:sz="1"/>
              <w:left w:val="single" w:color="D0CEF5" w:sz="1"/>
              <w:bottom w:val="single" w:color="D0CEF5" w:sz="1"/>
              <w:right w:val="single" w:color="D0CEF5" w:sz="1"/>
            </w:tcBorders>
            <w:shd w:fill="7F77DD" w:val="clear"/>
            <w:tcMar>
              <w:top w:type="dxa" w:w="100"/>
              <w:left w:type="dxa" w:w="140"/>
              <w:bottom w:type="dxa" w:w="100"/>
              <w:right w:type="dxa" w:w="140"/>
            </w:tcMar>
          </w:tcPr>
          <w:p>
            <w:r>
              <w:rPr>
                <w:rFonts w:ascii="Arial" w:cs="Arial" w:eastAsia="Arial" w:hAnsi="Arial"/>
                <w:b/>
                <w:bCs/>
                <w:color w:val="FFFFFF"/>
                <w:sz w:val="20"/>
                <w:szCs w:val="20"/>
              </w:rPr>
              <w:t xml:space="preserve">What it does</w:t>
            </w:r>
          </w:p>
        </w:tc>
        <w:tc>
          <w:tcPr>
            <w:tcW w:type="dxa" w:w="2000"/>
            <w:tcBorders>
              <w:top w:val="single" w:color="D0CEF5" w:sz="1"/>
              <w:left w:val="single" w:color="D0CEF5" w:sz="1"/>
              <w:bottom w:val="single" w:color="D0CEF5" w:sz="1"/>
              <w:right w:val="single" w:color="D0CEF5" w:sz="1"/>
            </w:tcBorders>
            <w:shd w:fill="7F77DD" w:val="clear"/>
            <w:tcMar>
              <w:top w:type="dxa" w:w="100"/>
              <w:left w:type="dxa" w:w="140"/>
              <w:bottom w:type="dxa" w:w="100"/>
              <w:right w:type="dxa" w:w="140"/>
            </w:tcMar>
          </w:tcPr>
          <w:p>
            <w:r>
              <w:rPr>
                <w:rFonts w:ascii="Arial" w:cs="Arial" w:eastAsia="Arial" w:hAnsi="Arial"/>
                <w:b/>
                <w:bCs/>
                <w:color w:val="FFFFFF"/>
                <w:sz w:val="20"/>
                <w:szCs w:val="20"/>
              </w:rPr>
              <w:t xml:space="preserve">Duration</w:t>
            </w:r>
          </w:p>
        </w:tc>
      </w:tr>
      <w:tr>
        <w:trPr>
          <w:tblHeader w:val="false"/>
        </w:trPr>
        <w:tc>
          <w:tcPr>
            <w:tcW w:type="dxa" w:w="52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1</w:t>
            </w:r>
          </w:p>
        </w:tc>
        <w:tc>
          <w:tcPr>
            <w:tcW w:type="dxa" w:w="28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Ingest</w:t>
            </w:r>
          </w:p>
        </w:tc>
        <w:tc>
          <w:tcPr>
            <w:tcW w:type="dxa" w:w="404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Parse raw instrument output, convert to h5ad</w:t>
            </w:r>
          </w:p>
        </w:tc>
        <w:tc>
          <w:tcPr>
            <w:tcW w:type="dxa" w:w="20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~2 min</w:t>
            </w:r>
          </w:p>
        </w:tc>
      </w:tr>
      <w:tr>
        <w:trPr>
          <w:tblHeader w:val="false"/>
        </w:trPr>
        <w:tc>
          <w:tcPr>
            <w:tcW w:type="dxa" w:w="52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2</w:t>
            </w:r>
          </w:p>
        </w:tc>
        <w:tc>
          <w:tcPr>
            <w:tcW w:type="dxa" w:w="28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Quality control</w:t>
            </w:r>
          </w:p>
        </w:tc>
        <w:tc>
          <w:tcPr>
            <w:tcW w:type="dxa" w:w="404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Filter low-quality spots, flag mito genes</w:t>
            </w:r>
          </w:p>
        </w:tc>
        <w:tc>
          <w:tcPr>
            <w:tcW w:type="dxa" w:w="20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~5 min</w:t>
            </w:r>
          </w:p>
        </w:tc>
      </w:tr>
      <w:tr>
        <w:trPr>
          <w:tblHeader w:val="false"/>
        </w:trPr>
        <w:tc>
          <w:tcPr>
            <w:tcW w:type="dxa" w:w="52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3</w:t>
            </w:r>
          </w:p>
        </w:tc>
        <w:tc>
          <w:tcPr>
            <w:tcW w:type="dxa" w:w="28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Normalisation</w:t>
            </w:r>
          </w:p>
        </w:tc>
        <w:tc>
          <w:tcPr>
            <w:tcW w:type="dxa" w:w="404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SCTransform or log-norm, HVG selection</w:t>
            </w:r>
          </w:p>
        </w:tc>
        <w:tc>
          <w:tcPr>
            <w:tcW w:type="dxa" w:w="20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~3 min</w:t>
            </w:r>
          </w:p>
        </w:tc>
      </w:tr>
      <w:tr>
        <w:trPr>
          <w:tblHeader w:val="false"/>
        </w:trPr>
        <w:tc>
          <w:tcPr>
            <w:tcW w:type="dxa" w:w="52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4</w:t>
            </w:r>
          </w:p>
        </w:tc>
        <w:tc>
          <w:tcPr>
            <w:tcW w:type="dxa" w:w="28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Dimensionality reduction</w:t>
            </w:r>
          </w:p>
        </w:tc>
        <w:tc>
          <w:tcPr>
            <w:tcW w:type="dxa" w:w="404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PCA (50 components), UMAP embedding</w:t>
            </w:r>
          </w:p>
        </w:tc>
        <w:tc>
          <w:tcPr>
            <w:tcW w:type="dxa" w:w="20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~8 min</w:t>
            </w:r>
          </w:p>
        </w:tc>
      </w:tr>
      <w:tr>
        <w:trPr>
          <w:tblHeader w:val="false"/>
        </w:trPr>
        <w:tc>
          <w:tcPr>
            <w:tcW w:type="dxa" w:w="52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5</w:t>
            </w:r>
          </w:p>
        </w:tc>
        <w:tc>
          <w:tcPr>
            <w:tcW w:type="dxa" w:w="28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Leiden clustering</w:t>
            </w:r>
          </w:p>
        </w:tc>
        <w:tc>
          <w:tcPr>
            <w:tcW w:type="dxa" w:w="404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Graph-based clustering, configurable resolution</w:t>
            </w:r>
          </w:p>
        </w:tc>
        <w:tc>
          <w:tcPr>
            <w:tcW w:type="dxa" w:w="20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~6 min</w:t>
            </w:r>
          </w:p>
        </w:tc>
      </w:tr>
      <w:tr>
        <w:trPr>
          <w:tblHeader w:val="false"/>
        </w:trPr>
        <w:tc>
          <w:tcPr>
            <w:tcW w:type="dxa" w:w="52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6</w:t>
            </w:r>
          </w:p>
        </w:tc>
        <w:tc>
          <w:tcPr>
            <w:tcW w:type="dxa" w:w="28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AI annotation</w:t>
            </w:r>
          </w:p>
        </w:tc>
        <w:tc>
          <w:tcPr>
            <w:tcW w:type="dxa" w:w="404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Cell type labels via Claude + Human Cell Atlas</w:t>
            </w:r>
          </w:p>
        </w:tc>
        <w:tc>
          <w:tcPr>
            <w:tcW w:type="dxa" w:w="20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~10 min</w:t>
            </w:r>
          </w:p>
        </w:tc>
      </w:tr>
      <w:tr>
        <w:trPr>
          <w:tblHeader w:val="false"/>
        </w:trPr>
        <w:tc>
          <w:tcPr>
            <w:tcW w:type="dxa" w:w="52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7</w:t>
            </w:r>
          </w:p>
        </w:tc>
        <w:tc>
          <w:tcPr>
            <w:tcW w:type="dxa" w:w="28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Spatially variable genes</w:t>
            </w:r>
          </w:p>
        </w:tc>
        <w:tc>
          <w:tcPr>
            <w:tcW w:type="dxa" w:w="404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SpatialDE autocorrelation analysis</w:t>
            </w:r>
          </w:p>
        </w:tc>
        <w:tc>
          <w:tcPr>
            <w:tcW w:type="dxa" w:w="20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~20 min</w:t>
            </w:r>
          </w:p>
        </w:tc>
      </w:tr>
      <w:tr>
        <w:trPr>
          <w:tblHeader w:val="false"/>
        </w:trPr>
        <w:tc>
          <w:tcPr>
            <w:tcW w:type="dxa" w:w="52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8</w:t>
            </w:r>
          </w:p>
        </w:tc>
        <w:tc>
          <w:tcPr>
            <w:tcW w:type="dxa" w:w="28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Report generation</w:t>
            </w:r>
          </w:p>
        </w:tc>
        <w:tc>
          <w:tcPr>
            <w:tcW w:type="dxa" w:w="404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Compile PDF + HTML + h5ad export</w:t>
            </w:r>
          </w:p>
        </w:tc>
        <w:tc>
          <w:tcPr>
            <w:tcW w:type="dxa" w:w="20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~2 min</w:t>
            </w:r>
          </w:p>
        </w:tc>
      </w:tr>
    </w:tbl>
    <w:p>
      <w:pPr>
        <w:spacing w:after="120" w:before="0"/>
      </w:pPr>
      <w:r>
        <w:t xml:space="preserve"/>
      </w:r>
    </w:p>
    <w:p>
      <w:pPr>
        <w:pStyle w:val="Heading3"/>
        <w:spacing w:after="80" w:before="200"/>
      </w:pPr>
      <w:r>
        <w:rPr>
          <w:rFonts w:ascii="Arial" w:cs="Arial" w:eastAsia="Arial" w:hAnsi="Arial"/>
          <w:b/>
          <w:bCs/>
          <w:color w:val="1A1A2E"/>
          <w:sz w:val="24"/>
          <w:szCs w:val="24"/>
        </w:rPr>
        <w:t xml:space="preserve">Upload</w:t>
      </w:r>
    </w:p>
    <w:p>
      <w:pPr>
        <w:spacing w:after="120" w:before="80"/>
      </w:pPr>
      <w:r>
        <w:rPr>
          <w:rFonts w:ascii="Arial" w:cs="Arial" w:eastAsia="Arial" w:hAnsi="Arial"/>
          <w:b w:val="false"/>
          <w:bCs w:val="false"/>
          <w:i w:val="false"/>
          <w:iCs w:val="false"/>
          <w:color w:val="5A5870"/>
          <w:sz w:val="22"/>
          <w:szCs w:val="22"/>
        </w:rPr>
        <w:t xml:space="preserve">Chunked multipart upload directly to AWS S3 in 50 MB parts — files never pass through the Django server. Handles files up to 200 GB (Xenium imaging stacks). Upload is resumable on network drop. Real progress shows actual bytes transferred at real speed in MB/s.</w:t>
      </w:r>
    </w:p>
    <w:p>
      <w:pPr>
        <w:spacing w:after="120" w:before="0"/>
      </w:pPr>
      <w:r>
        <w:t xml:space="preserve"/>
      </w:r>
    </w:p>
    <w:p>
      <w:pPr>
        <w:pStyle w:val="Heading3"/>
        <w:spacing w:after="80" w:before="200"/>
      </w:pPr>
      <w:r>
        <w:rPr>
          <w:rFonts w:ascii="Arial" w:cs="Arial" w:eastAsia="Arial" w:hAnsi="Arial"/>
          <w:b/>
          <w:bCs/>
          <w:color w:val="1A1A2E"/>
          <w:sz w:val="24"/>
          <w:szCs w:val="24"/>
        </w:rPr>
        <w:t xml:space="preserve">Teams</w:t>
      </w:r>
    </w:p>
    <w:p>
      <w:pPr>
        <w:spacing w:after="120" w:before="80"/>
      </w:pPr>
      <w:r>
        <w:rPr>
          <w:rFonts w:ascii="Arial" w:cs="Arial" w:eastAsia="Arial" w:hAnsi="Arial"/>
          <w:b w:val="false"/>
          <w:bCs w:val="false"/>
          <w:i w:val="false"/>
          <w:iCs w:val="false"/>
          <w:color w:val="5A5870"/>
          <w:sz w:val="22"/>
          <w:szCs w:val="22"/>
        </w:rPr>
        <w:t xml:space="preserve">Role-based access control with three roles: Viewer (read-only), Analyst (upload + run pipelines), Admin (full access including billing and member management). Sample-level access control allows granular permissions per dataset. Full activity audit log for HIPAA compliance.</w:t>
      </w:r>
    </w:p>
    <w:p>
      <w:pPr>
        <w:spacing w:after="120" w:before="0"/>
      </w:pPr>
      <w:r>
        <w:t xml:space="preserve"/>
      </w:r>
    </w:p>
    <w:p>
      <w:pPr>
        <w:pStyle w:val="Heading3"/>
        <w:spacing w:after="80" w:before="200"/>
      </w:pPr>
      <w:r>
        <w:rPr>
          <w:rFonts w:ascii="Arial" w:cs="Arial" w:eastAsia="Arial" w:hAnsi="Arial"/>
          <w:b/>
          <w:bCs/>
          <w:color w:val="1A1A2E"/>
          <w:sz w:val="24"/>
          <w:szCs w:val="24"/>
        </w:rPr>
        <w:t xml:space="preserve">Billing</w:t>
      </w:r>
    </w:p>
    <w:p>
      <w:pPr>
        <w:spacing w:after="120" w:before="80"/>
      </w:pPr>
      <w:r>
        <w:rPr>
          <w:rFonts w:ascii="Arial" w:cs="Arial" w:eastAsia="Arial" w:hAnsi="Arial"/>
          <w:b w:val="false"/>
          <w:bCs w:val="false"/>
          <w:i w:val="false"/>
          <w:iCs w:val="false"/>
          <w:color w:val="5A5870"/>
          <w:sz w:val="22"/>
          <w:szCs w:val="22"/>
        </w:rPr>
        <w:t xml:space="preserve">Stripe-integrated subscription management. Usage tracking per billing period (samples analysed, storage used, team seats). Automated overage detection and alerting. Invoice history with PDF download. HIPAA BAA signing flow for enterprise customers.</w:t>
      </w:r>
    </w:p>
    <w:p>
      <w:r>
        <w:br w:type="page"/>
      </w:r>
    </w:p>
    <w:p>
      <w:pPr>
        <w:pStyle w:val="Heading1"/>
        <w:spacing w:after="160" w:before="360"/>
      </w:pPr>
      <w:r>
        <w:rPr>
          <w:rFonts w:ascii="Arial" w:cs="Arial" w:eastAsia="Arial" w:hAnsi="Arial"/>
          <w:b/>
          <w:bCs/>
          <w:color w:val="1A1A2E"/>
          <w:sz w:val="36"/>
          <w:szCs w:val="36"/>
        </w:rPr>
        <w:t xml:space="preserve">3. End-to-End User Journey</w:t>
      </w:r>
    </w:p>
    <w:p>
      <w:pPr>
        <w:pBdr>
          <w:bottom w:val="single" w:color="7F77DD" w:sz="4" w:space="1"/>
        </w:pBdr>
        <w:spacing w:after="160" w:before="160"/>
      </w:pPr>
      <w:r>
        <w:t xml:space="preserve"/>
      </w:r>
    </w:p>
    <w:p>
      <w:pPr>
        <w:spacing w:after="120" w:before="80"/>
      </w:pPr>
      <w:r>
        <w:rPr>
          <w:rFonts w:ascii="Arial" w:cs="Arial" w:eastAsia="Arial" w:hAnsi="Arial"/>
          <w:b w:val="false"/>
          <w:bCs w:val="false"/>
          <w:i w:val="false"/>
          <w:iCs w:val="false"/>
          <w:color w:val="5A5870"/>
          <w:sz w:val="22"/>
          <w:szCs w:val="22"/>
        </w:rPr>
        <w:t xml:space="preserve">The complete workflow from laboratory bench to clinical decision:</w:t>
      </w:r>
    </w:p>
    <w:p>
      <w:pPr>
        <w:spacing w:after="120" w:before="0"/>
      </w:pPr>
      <w:r>
        <w:t xml:space="preserve"/>
      </w:r>
    </w:p>
    <w:p>
      <w:pPr>
        <w:pStyle w:val="ListParagraph"/>
        <w:numPr>
          <w:ilvl w:val="0"/>
          <w:numId w:val="2"/>
        </w:numPr>
        <w:spacing w:after="40" w:before="40"/>
      </w:pPr>
      <w:r>
        <w:rPr>
          <w:rFonts w:ascii="Arial" w:cs="Arial" w:eastAsia="Arial" w:hAnsi="Arial"/>
          <w:color w:val="5A5870"/>
          <w:sz w:val="22"/>
          <w:szCs w:val="22"/>
        </w:rPr>
        <w:t xml:space="preserve">Pathologist takes a tissue biopsy — fresh frozen or FFPE, 5-10 micrometres thick</w:t>
      </w:r>
    </w:p>
    <w:p>
      <w:pPr>
        <w:pStyle w:val="ListParagraph"/>
        <w:numPr>
          <w:ilvl w:val="0"/>
          <w:numId w:val="2"/>
        </w:numPr>
        <w:spacing w:after="40" w:before="40"/>
      </w:pPr>
      <w:r>
        <w:rPr>
          <w:rFonts w:ascii="Arial" w:cs="Arial" w:eastAsia="Arial" w:hAnsi="Arial"/>
          <w:color w:val="5A5870"/>
          <w:sz w:val="22"/>
          <w:szCs w:val="22"/>
        </w:rPr>
        <w:t xml:space="preserve">Lab technician mounts tissue on the spatial transcriptomics instrument (Visium, Xenium, CosMx etc.)</w:t>
      </w:r>
    </w:p>
    <w:p>
      <w:pPr>
        <w:pStyle w:val="ListParagraph"/>
        <w:numPr>
          <w:ilvl w:val="0"/>
          <w:numId w:val="2"/>
        </w:numPr>
        <w:spacing w:after="40" w:before="40"/>
      </w:pPr>
      <w:r>
        <w:rPr>
          <w:rFonts w:ascii="Arial" w:cs="Arial" w:eastAsia="Arial" w:hAnsi="Arial"/>
          <w:color w:val="5A5870"/>
          <w:sz w:val="22"/>
          <w:szCs w:val="22"/>
        </w:rPr>
        <w:t xml:space="preserve">Instrument runs for 12-48 hours, capturing RNA signals across thousands of tissue locations</w:t>
      </w:r>
    </w:p>
    <w:p>
      <w:pPr>
        <w:pStyle w:val="ListParagraph"/>
        <w:numPr>
          <w:ilvl w:val="0"/>
          <w:numId w:val="2"/>
        </w:numPr>
        <w:spacing w:after="40" w:before="40"/>
      </w:pPr>
      <w:r>
        <w:rPr>
          <w:rFonts w:ascii="Arial" w:cs="Arial" w:eastAsia="Arial" w:hAnsi="Arial"/>
          <w:color w:val="5A5870"/>
          <w:sz w:val="22"/>
          <w:szCs w:val="22"/>
        </w:rPr>
        <w:t xml:space="preserve">Instrument outputs a raw data folder (2-200 GB) to the lab computer</w:t>
      </w:r>
    </w:p>
    <w:p>
      <w:pPr>
        <w:pStyle w:val="ListParagraph"/>
        <w:numPr>
          <w:ilvl w:val="0"/>
          <w:numId w:val="2"/>
        </w:numPr>
        <w:spacing w:after="40" w:before="40"/>
      </w:pPr>
      <w:r>
        <w:rPr>
          <w:rFonts w:ascii="Arial" w:cs="Arial" w:eastAsia="Arial" w:hAnsi="Arial"/>
          <w:color w:val="5A5870"/>
          <w:sz w:val="22"/>
          <w:szCs w:val="22"/>
        </w:rPr>
        <w:t xml:space="preserve">Researcher logs into SpatialVision, creates a sample record, uploads the folder via chunked S3 upload</w:t>
      </w:r>
    </w:p>
    <w:p>
      <w:pPr>
        <w:pStyle w:val="ListParagraph"/>
        <w:numPr>
          <w:ilvl w:val="0"/>
          <w:numId w:val="2"/>
        </w:numPr>
        <w:spacing w:after="40" w:before="40"/>
      </w:pPr>
      <w:r>
        <w:rPr>
          <w:rFonts w:ascii="Arial" w:cs="Arial" w:eastAsia="Arial" w:hAnsi="Arial"/>
          <w:color w:val="5A5870"/>
          <w:sz w:val="22"/>
          <w:szCs w:val="22"/>
        </w:rPr>
        <w:t xml:space="preserve">SpatialVision converts the raw files to standardised h5ad format</w:t>
      </w:r>
    </w:p>
    <w:p>
      <w:pPr>
        <w:pStyle w:val="ListParagraph"/>
        <w:numPr>
          <w:ilvl w:val="0"/>
          <w:numId w:val="2"/>
        </w:numPr>
        <w:spacing w:after="40" w:before="40"/>
      </w:pPr>
      <w:r>
        <w:rPr>
          <w:rFonts w:ascii="Arial" w:cs="Arial" w:eastAsia="Arial" w:hAnsi="Arial"/>
          <w:color w:val="5A5870"/>
          <w:sz w:val="22"/>
          <w:szCs w:val="22"/>
        </w:rPr>
        <w:t xml:space="preserve">Researcher configures pipeline settings and clicks Run — Celery worker starts on GPU instance</w:t>
      </w:r>
    </w:p>
    <w:p>
      <w:pPr>
        <w:pStyle w:val="ListParagraph"/>
        <w:numPr>
          <w:ilvl w:val="0"/>
          <w:numId w:val="2"/>
        </w:numPr>
        <w:spacing w:after="40" w:before="40"/>
      </w:pPr>
      <w:r>
        <w:rPr>
          <w:rFonts w:ascii="Arial" w:cs="Arial" w:eastAsia="Arial" w:hAnsi="Arial"/>
          <w:color w:val="5A5870"/>
          <w:sz w:val="22"/>
          <w:szCs w:val="22"/>
        </w:rPr>
        <w:t xml:space="preserve">React frontend polls every 3 seconds; progress bars and logs update in real time from DB</w:t>
      </w:r>
    </w:p>
    <w:p>
      <w:pPr>
        <w:pStyle w:val="ListParagraph"/>
        <w:numPr>
          <w:ilvl w:val="0"/>
          <w:numId w:val="2"/>
        </w:numPr>
        <w:spacing w:after="40" w:before="40"/>
      </w:pPr>
      <w:r>
        <w:rPr>
          <w:rFonts w:ascii="Arial" w:cs="Arial" w:eastAsia="Arial" w:hAnsi="Arial"/>
          <w:color w:val="5A5870"/>
          <w:sz w:val="22"/>
          <w:szCs w:val="22"/>
        </w:rPr>
        <w:t xml:space="preserve">Pipeline completes in 40-90 minutes — results available immediately in Explorer</w:t>
      </w:r>
    </w:p>
    <w:p>
      <w:pPr>
        <w:pStyle w:val="ListParagraph"/>
        <w:numPr>
          <w:ilvl w:val="0"/>
          <w:numId w:val="2"/>
        </w:numPr>
        <w:spacing w:after="40" w:before="40"/>
      </w:pPr>
      <w:r>
        <w:rPr>
          <w:rFonts w:ascii="Arial" w:cs="Arial" w:eastAsia="Arial" w:hAnsi="Arial"/>
          <w:color w:val="5A5870"/>
          <w:sz w:val="22"/>
          <w:szCs w:val="22"/>
        </w:rPr>
        <w:t xml:space="preserve">Bioinformatician, pathologist, and translational scientist explore results in shared workspace</w:t>
      </w:r>
    </w:p>
    <w:p>
      <w:pPr>
        <w:pStyle w:val="ListParagraph"/>
        <w:numPr>
          <w:ilvl w:val="0"/>
          <w:numId w:val="2"/>
        </w:numPr>
        <w:spacing w:after="40" w:before="40"/>
      </w:pPr>
      <w:r>
        <w:rPr>
          <w:rFonts w:ascii="Arial" w:cs="Arial" w:eastAsia="Arial" w:hAnsi="Arial"/>
          <w:color w:val="5A5870"/>
          <w:sz w:val="22"/>
          <w:szCs w:val="22"/>
        </w:rPr>
        <w:t xml:space="preserve">One-click report exported as PDF for oncology MDT meeting</w:t>
      </w:r>
    </w:p>
    <w:p>
      <w:pPr>
        <w:pStyle w:val="ListParagraph"/>
        <w:numPr>
          <w:ilvl w:val="0"/>
          <w:numId w:val="2"/>
        </w:numPr>
        <w:spacing w:after="40" w:before="40"/>
      </w:pPr>
      <w:r>
        <w:rPr>
          <w:rFonts w:ascii="Arial" w:cs="Arial" w:eastAsia="Arial" w:hAnsi="Arial"/>
          <w:color w:val="5A5870"/>
          <w:sz w:val="22"/>
          <w:szCs w:val="22"/>
        </w:rPr>
        <w:t xml:space="preserve">Clinicians use spatial findings to select treatment: immunotherapy, CDK4/6 inhibitor, or trial enrolment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1D9E75" w:sz="1"/>
              <w:left w:val="single" w:color="1D9E75" w:sz="1"/>
              <w:bottom w:val="single" w:color="1D9E75" w:sz="1"/>
              <w:right w:val="single" w:color="1D9E75" w:sz="1"/>
            </w:tcBorders>
            <w:shd w:fill="1D9E75" w:val="clear"/>
            <w:tcMar>
              <w:top w:type="dxa" w:w="100"/>
              <w:left w:type="dxa" w:w="140"/>
              <w:bottom w:type="dxa" w:w="100"/>
              <w:right w:type="dxa" w:w="140"/>
            </w:tcMar>
            <w:vAlign w:val="center"/>
          </w:tcPr>
          <w:p>
            <w:r>
              <w:rPr>
                <w:rFonts w:ascii="Arial" w:cs="Arial" w:eastAsia="Arial" w:hAnsi="Arial"/>
                <w:b/>
                <w:bCs/>
                <w:color w:val="FFFFFF"/>
                <w:sz w:val="20"/>
                <w:szCs w:val="20"/>
              </w:rPr>
              <w:t xml:space="preserve">KEY INSIGHT</w:t>
            </w:r>
          </w:p>
        </w:tc>
        <w:tc>
          <w:tcPr>
            <w:tcW w:type="dxa" w:w="8860"/>
            <w:tcBorders>
              <w:top w:val="single" w:color="1D9E75" w:sz="1"/>
              <w:left w:val="single" w:color="1D9E75" w:sz="1"/>
              <w:bottom w:val="single" w:color="1D9E75" w:sz="1"/>
              <w:right w:val="single" w:color="1D9E75" w:sz="1"/>
            </w:tcBorders>
            <w:shd w:fill="F0FBF7" w:val="clear"/>
            <w:tcMar>
              <w:top w:type="dxa" w:w="100"/>
              <w:left w:type="dxa" w:w="140"/>
              <w:bottom w:type="dxa" w:w="100"/>
              <w:right w:type="dxa" w:w="140"/>
            </w:tcMar>
          </w:tcPr>
          <w:p>
            <w:r>
              <w:rPr>
                <w:rFonts w:ascii="Arial" w:cs="Arial" w:eastAsia="Arial" w:hAnsi="Arial"/>
                <w:color w:val="1A1A2E"/>
                <w:sz w:val="22"/>
                <w:szCs w:val="22"/>
              </w:rPr>
              <w:t xml:space="preserve">Steps 1-4 happen in the wet lab with no software. Steps 5-11 are where SpatialVision eliminates 2-3 weeks of manual work. Step 12 is where the clinical and commercial value is realised.</w:t>
            </w:r>
          </w:p>
        </w:tc>
      </w:tr>
    </w:tbl>
    <w:p>
      <w:r>
        <w:br w:type="page"/>
      </w:r>
    </w:p>
    <w:p>
      <w:pPr>
        <w:pStyle w:val="Heading1"/>
        <w:spacing w:after="160" w:before="360"/>
      </w:pPr>
      <w:r>
        <w:rPr>
          <w:rFonts w:ascii="Arial" w:cs="Arial" w:eastAsia="Arial" w:hAnsi="Arial"/>
          <w:b/>
          <w:bCs/>
          <w:color w:val="1A1A2E"/>
          <w:sz w:val="36"/>
          <w:szCs w:val="36"/>
        </w:rPr>
        <w:t xml:space="preserve">4. Technical Architecture</w:t>
      </w:r>
    </w:p>
    <w:p>
      <w:pPr>
        <w:pBdr>
          <w:bottom w:val="single" w:color="7F77DD" w:sz="4" w:space="1"/>
        </w:pBdr>
        <w:spacing w:after="160" w:before="160"/>
      </w:pPr>
      <w:r>
        <w:t xml:space="preserve"/>
      </w:r>
    </w:p>
    <w:p>
      <w:pPr>
        <w:pStyle w:val="Heading2"/>
        <w:spacing w:after="120" w:before="280"/>
      </w:pPr>
      <w:r>
        <w:rPr>
          <w:rFonts w:ascii="Arial" w:cs="Arial" w:eastAsia="Arial" w:hAnsi="Arial"/>
          <w:b/>
          <w:bCs/>
          <w:color w:val="7F77DD"/>
          <w:sz w:val="28"/>
          <w:szCs w:val="28"/>
        </w:rPr>
        <w:t xml:space="preserve">4.1 System Overview</w:t>
      </w:r>
    </w:p>
    <w:p>
      <w:pPr>
        <w:spacing w:after="120" w:before="80"/>
      </w:pPr>
      <w:r>
        <w:rPr>
          <w:rFonts w:ascii="Arial" w:cs="Arial" w:eastAsia="Arial" w:hAnsi="Arial"/>
          <w:b w:val="false"/>
          <w:bCs w:val="false"/>
          <w:i w:val="false"/>
          <w:iCs w:val="false"/>
          <w:color w:val="5A5870"/>
          <w:sz w:val="22"/>
          <w:szCs w:val="22"/>
        </w:rPr>
        <w:t xml:space="preserve">SpatialVision uses a three-tier architecture: React frontend, Django REST API, and Celery GPU workers. The frontend is a pure display layer — all computation happens on the backend. The frontend polls the Django API every 3 seconds; the API reads from PostgreSQL what the Celery worker last wrote.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gridCol w:w="4680"/>
      </w:tblGrid>
      <w:tr>
        <w:trPr>
          <w:tblHeader/>
        </w:trPr>
        <w:tc>
          <w:tcPr>
            <w:tcW w:type="dxa" w:w="2000"/>
            <w:tcBorders>
              <w:top w:val="single" w:color="D0CEF5" w:sz="1"/>
              <w:left w:val="single" w:color="D0CEF5" w:sz="1"/>
              <w:bottom w:val="single" w:color="D0CEF5" w:sz="1"/>
              <w:right w:val="single" w:color="D0CEF5" w:sz="1"/>
            </w:tcBorders>
            <w:shd w:fill="7F77DD"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2680"/>
            <w:tcBorders>
              <w:top w:val="single" w:color="D0CEF5" w:sz="1"/>
              <w:left w:val="single" w:color="D0CEF5" w:sz="1"/>
              <w:bottom w:val="single" w:color="D0CEF5" w:sz="1"/>
              <w:right w:val="single" w:color="D0CEF5" w:sz="1"/>
            </w:tcBorders>
            <w:shd w:fill="7F77DD"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4680"/>
            <w:tcBorders>
              <w:top w:val="single" w:color="D0CEF5" w:sz="1"/>
              <w:left w:val="single" w:color="D0CEF5" w:sz="1"/>
              <w:bottom w:val="single" w:color="D0CEF5" w:sz="1"/>
              <w:right w:val="single" w:color="D0CEF5" w:sz="1"/>
            </w:tcBorders>
            <w:shd w:fill="7F77DD" w:val="clear"/>
            <w:tcMar>
              <w:top w:type="dxa" w:w="100"/>
              <w:left w:type="dxa" w:w="140"/>
              <w:bottom w:type="dxa" w:w="100"/>
              <w:right w:type="dxa" w:w="140"/>
            </w:tcMar>
          </w:tcPr>
          <w:p>
            <w:r>
              <w:rPr>
                <w:rFonts w:ascii="Arial" w:cs="Arial" w:eastAsia="Arial" w:hAnsi="Arial"/>
                <w:b/>
                <w:bCs/>
                <w:color w:val="FFFFFF"/>
                <w:sz w:val="20"/>
                <w:szCs w:val="20"/>
              </w:rPr>
              <w:t xml:space="preserve">Responsibility</w:t>
            </w:r>
          </w:p>
        </w:tc>
      </w:tr>
      <w:tr>
        <w:trPr>
          <w:tblHeader w:val="false"/>
        </w:trPr>
        <w:tc>
          <w:tcPr>
            <w:tcW w:type="dxa" w:w="20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Frontend</w:t>
            </w:r>
          </w:p>
        </w:tc>
        <w:tc>
          <w:tcPr>
            <w:tcW w:type="dxa" w:w="268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React + TypeScript</w:t>
            </w:r>
          </w:p>
        </w:tc>
        <w:tc>
          <w:tcPr>
            <w:tcW w:type="dxa" w:w="468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Display only — polls API every 3s, renders results, handles auth</w:t>
            </w:r>
          </w:p>
        </w:tc>
      </w:tr>
      <w:tr>
        <w:trPr>
          <w:tblHeader w:val="false"/>
        </w:trPr>
        <w:tc>
          <w:tcPr>
            <w:tcW w:type="dxa" w:w="20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API server</w:t>
            </w:r>
          </w:p>
        </w:tc>
        <w:tc>
          <w:tcPr>
            <w:tcW w:type="dxa" w:w="268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Django + DRF</w:t>
            </w:r>
          </w:p>
        </w:tc>
        <w:tc>
          <w:tcPr>
            <w:tcW w:type="dxa" w:w="468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REST endpoints, JWT auth, multitenancy, job creation</w:t>
            </w:r>
          </w:p>
        </w:tc>
      </w:tr>
      <w:tr>
        <w:trPr>
          <w:tblHeader w:val="false"/>
        </w:trPr>
        <w:tc>
          <w:tcPr>
            <w:tcW w:type="dxa" w:w="20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Job queue</w:t>
            </w:r>
          </w:p>
        </w:tc>
        <w:tc>
          <w:tcPr>
            <w:tcW w:type="dxa" w:w="268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Celery + Redis</w:t>
            </w:r>
          </w:p>
        </w:tc>
        <w:tc>
          <w:tcPr>
            <w:tcW w:type="dxa" w:w="468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Async task queue, routes jobs to available workers</w:t>
            </w:r>
          </w:p>
        </w:tc>
      </w:tr>
      <w:tr>
        <w:trPr>
          <w:tblHeader w:val="false"/>
        </w:trPr>
        <w:tc>
          <w:tcPr>
            <w:tcW w:type="dxa" w:w="20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GPU worker</w:t>
            </w:r>
          </w:p>
        </w:tc>
        <w:tc>
          <w:tcPr>
            <w:tcW w:type="dxa" w:w="268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Celery + Scanpy</w:t>
            </w:r>
          </w:p>
        </w:tc>
        <w:tc>
          <w:tcPr>
            <w:tcW w:type="dxa" w:w="468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Runs real analysis pipeline, writes progress to DB</w:t>
            </w:r>
          </w:p>
        </w:tc>
      </w:tr>
      <w:tr>
        <w:trPr>
          <w:tblHeader w:val="false"/>
        </w:trPr>
        <w:tc>
          <w:tcPr>
            <w:tcW w:type="dxa" w:w="20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Database</w:t>
            </w:r>
          </w:p>
        </w:tc>
        <w:tc>
          <w:tcPr>
            <w:tcW w:type="dxa" w:w="268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PostgreSQL (RDS)</w:t>
            </w:r>
          </w:p>
        </w:tc>
        <w:tc>
          <w:tcPr>
            <w:tcW w:type="dxa" w:w="468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Users, samples, pipeline jobs, logs, results, organisations</w:t>
            </w:r>
          </w:p>
        </w:tc>
      </w:tr>
      <w:tr>
        <w:trPr>
          <w:tblHeader w:val="false"/>
        </w:trPr>
        <w:tc>
          <w:tcPr>
            <w:tcW w:type="dxa" w:w="20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File storage</w:t>
            </w:r>
          </w:p>
        </w:tc>
        <w:tc>
          <w:tcPr>
            <w:tcW w:type="dxa" w:w="268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AWS S3</w:t>
            </w:r>
          </w:p>
        </w:tc>
        <w:tc>
          <w:tcPr>
            <w:tcW w:type="dxa" w:w="468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Raw uploads, h5ad files, result files, reports — AES-256 encrypted</w:t>
            </w:r>
          </w:p>
        </w:tc>
      </w:tr>
      <w:tr>
        <w:trPr>
          <w:tblHeader w:val="false"/>
        </w:trPr>
        <w:tc>
          <w:tcPr>
            <w:tcW w:type="dxa" w:w="20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AI layer</w:t>
            </w:r>
          </w:p>
        </w:tc>
        <w:tc>
          <w:tcPr>
            <w:tcW w:type="dxa" w:w="268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Anthropic Claude API</w:t>
            </w:r>
          </w:p>
        </w:tc>
        <w:tc>
          <w:tcPr>
            <w:tcW w:type="dxa" w:w="468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Cell type annotation, biological interpretation in plain English</w:t>
            </w:r>
          </w:p>
        </w:tc>
      </w:tr>
      <w:tr>
        <w:trPr>
          <w:tblHeader w:val="false"/>
        </w:trPr>
        <w:tc>
          <w:tcPr>
            <w:tcW w:type="dxa" w:w="20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Billing</w:t>
            </w:r>
          </w:p>
        </w:tc>
        <w:tc>
          <w:tcPr>
            <w:tcW w:type="dxa" w:w="268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Stripe</w:t>
            </w:r>
          </w:p>
        </w:tc>
        <w:tc>
          <w:tcPr>
            <w:tcW w:type="dxa" w:w="468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Subscription management, invoicing, payment methods, webhooks</w:t>
            </w:r>
          </w:p>
        </w:tc>
      </w:tr>
    </w:tbl>
    <w:p>
      <w:pPr>
        <w:spacing w:after="120" w:before="0"/>
      </w:pPr>
      <w:r>
        <w:t xml:space="preserve"/>
      </w:r>
    </w:p>
    <w:p>
      <w:pPr>
        <w:pStyle w:val="Heading2"/>
        <w:spacing w:after="120" w:before="280"/>
      </w:pPr>
      <w:r>
        <w:rPr>
          <w:rFonts w:ascii="Arial" w:cs="Arial" w:eastAsia="Arial" w:hAnsi="Arial"/>
          <w:b/>
          <w:bCs/>
          <w:color w:val="7F77DD"/>
          <w:sz w:val="28"/>
          <w:szCs w:val="28"/>
        </w:rPr>
        <w:t xml:space="preserve">4.2 Data Flow — Pipeline Execution</w:t>
      </w:r>
    </w:p>
    <w:p>
      <w:pPr>
        <w:spacing w:after="120" w:before="80"/>
      </w:pPr>
      <w:r>
        <w:rPr>
          <w:rFonts w:ascii="Arial" w:cs="Arial" w:eastAsia="Arial" w:hAnsi="Arial"/>
          <w:b w:val="false"/>
          <w:bCs w:val="false"/>
          <w:i w:val="false"/>
          <w:iCs w:val="false"/>
          <w:color w:val="5A5870"/>
          <w:sz w:val="22"/>
          <w:szCs w:val="22"/>
        </w:rPr>
        <w:t xml:space="preserve">The exact sequence of events when a user clicks Run on a pipeline:</w:t>
      </w:r>
    </w:p>
    <w:p>
      <w:pPr>
        <w:spacing w:after="120" w:before="0"/>
      </w:pPr>
      <w:r>
        <w:t xml:space="preserve"/>
      </w:r>
    </w:p>
    <w:p>
      <w:pPr>
        <w:pStyle w:val="ListParagraph"/>
        <w:numPr>
          <w:ilvl w:val="0"/>
          <w:numId w:val="2"/>
        </w:numPr>
        <w:spacing w:after="40" w:before="40"/>
      </w:pPr>
      <w:r>
        <w:rPr>
          <w:rFonts w:ascii="Arial" w:cs="Arial" w:eastAsia="Arial" w:hAnsi="Arial"/>
          <w:color w:val="5A5870"/>
          <w:sz w:val="22"/>
          <w:szCs w:val="22"/>
        </w:rPr>
        <w:t xml:space="preserve">React sends POST /api/pipelines/ with sample_id and pipeline config</w:t>
      </w:r>
    </w:p>
    <w:p>
      <w:pPr>
        <w:pStyle w:val="ListParagraph"/>
        <w:numPr>
          <w:ilvl w:val="0"/>
          <w:numId w:val="2"/>
        </w:numPr>
        <w:spacing w:after="40" w:before="40"/>
      </w:pPr>
      <w:r>
        <w:rPr>
          <w:rFonts w:ascii="Arial" w:cs="Arial" w:eastAsia="Arial" w:hAnsi="Arial"/>
          <w:color w:val="5A5870"/>
          <w:sz w:val="22"/>
          <w:szCs w:val="22"/>
        </w:rPr>
        <w:t xml:space="preserve">Django validates request, checks org permissions, creates Pipeline record in PostgreSQL (status="queued")</w:t>
      </w:r>
    </w:p>
    <w:p>
      <w:pPr>
        <w:pStyle w:val="ListParagraph"/>
        <w:numPr>
          <w:ilvl w:val="0"/>
          <w:numId w:val="2"/>
        </w:numPr>
        <w:spacing w:after="40" w:before="40"/>
      </w:pPr>
      <w:r>
        <w:rPr>
          <w:rFonts w:ascii="Arial" w:cs="Arial" w:eastAsia="Arial" w:hAnsi="Arial"/>
          <w:color w:val="5A5870"/>
          <w:sz w:val="22"/>
          <w:szCs w:val="22"/>
        </w:rPr>
        <w:t xml:space="preserve">Django calls run_pipeline.delay(pipeline_id) — hands job to Celery via Redis broker</w:t>
      </w:r>
    </w:p>
    <w:p>
      <w:pPr>
        <w:pStyle w:val="ListParagraph"/>
        <w:numPr>
          <w:ilvl w:val="0"/>
          <w:numId w:val="2"/>
        </w:numPr>
        <w:spacing w:after="40" w:before="40"/>
      </w:pPr>
      <w:r>
        <w:rPr>
          <w:rFonts w:ascii="Arial" w:cs="Arial" w:eastAsia="Arial" w:hAnsi="Arial"/>
          <w:color w:val="5A5870"/>
          <w:sz w:val="22"/>
          <w:szCs w:val="22"/>
        </w:rPr>
        <w:t xml:space="preserve">Celery picks up job on an available GPU worker (EC2 G4dn spot instance)</w:t>
      </w:r>
    </w:p>
    <w:p>
      <w:pPr>
        <w:pStyle w:val="ListParagraph"/>
        <w:numPr>
          <w:ilvl w:val="0"/>
          <w:numId w:val="2"/>
        </w:numPr>
        <w:spacing w:after="40" w:before="40"/>
      </w:pPr>
      <w:r>
        <w:rPr>
          <w:rFonts w:ascii="Arial" w:cs="Arial" w:eastAsia="Arial" w:hAnsi="Arial"/>
          <w:color w:val="5A5870"/>
          <w:sz w:val="22"/>
          <w:szCs w:val="22"/>
        </w:rPr>
        <w:t xml:space="preserve">Worker downloads .h5ad file from S3, begins analysis</w:t>
      </w:r>
    </w:p>
    <w:p>
      <w:pPr>
        <w:pStyle w:val="ListParagraph"/>
        <w:numPr>
          <w:ilvl w:val="0"/>
          <w:numId w:val="2"/>
        </w:numPr>
        <w:spacing w:after="40" w:before="40"/>
      </w:pPr>
      <w:r>
        <w:rPr>
          <w:rFonts w:ascii="Arial" w:cs="Arial" w:eastAsia="Arial" w:hAnsi="Arial"/>
          <w:color w:val="5A5870"/>
          <w:sz w:val="22"/>
          <w:szCs w:val="22"/>
        </w:rPr>
        <w:t xml:space="preserve">At each step, worker writes to PostgreSQL: current_step, progress (0-100), step_progress, log lines</w:t>
      </w:r>
    </w:p>
    <w:p>
      <w:pPr>
        <w:pStyle w:val="ListParagraph"/>
        <w:numPr>
          <w:ilvl w:val="0"/>
          <w:numId w:val="2"/>
        </w:numPr>
        <w:spacing w:after="40" w:before="40"/>
      </w:pPr>
      <w:r>
        <w:rPr>
          <w:rFonts w:ascii="Arial" w:cs="Arial" w:eastAsia="Arial" w:hAnsi="Arial"/>
          <w:color w:val="5A5870"/>
          <w:sz w:val="22"/>
          <w:szCs w:val="22"/>
        </w:rPr>
        <w:t xml:space="preserve">React polls GET /api/pipelines/{id}/ every 3 seconds — reads those values and updates the UI</w:t>
      </w:r>
    </w:p>
    <w:p>
      <w:pPr>
        <w:pStyle w:val="ListParagraph"/>
        <w:numPr>
          <w:ilvl w:val="0"/>
          <w:numId w:val="2"/>
        </w:numPr>
        <w:spacing w:after="40" w:before="40"/>
      </w:pPr>
      <w:r>
        <w:rPr>
          <w:rFonts w:ascii="Arial" w:cs="Arial" w:eastAsia="Arial" w:hAnsi="Arial"/>
          <w:color w:val="5A5870"/>
          <w:sz w:val="22"/>
          <w:szCs w:val="22"/>
        </w:rPr>
        <w:t xml:space="preserve">Worker uploads result.h5ad to S3, writes PipelineResult record, sets status="done"</w:t>
      </w:r>
    </w:p>
    <w:p>
      <w:pPr>
        <w:pStyle w:val="ListParagraph"/>
        <w:numPr>
          <w:ilvl w:val="0"/>
          <w:numId w:val="2"/>
        </w:numPr>
        <w:spacing w:after="40" w:before="40"/>
      </w:pPr>
      <w:r>
        <w:rPr>
          <w:rFonts w:ascii="Arial" w:cs="Arial" w:eastAsia="Arial" w:hAnsi="Arial"/>
          <w:color w:val="5A5870"/>
          <w:sz w:val="22"/>
          <w:szCs w:val="22"/>
        </w:rPr>
        <w:t xml:space="preserve">React detects status="done", stops polling, shows Download Report button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D85A30" w:sz="1"/>
              <w:left w:val="single" w:color="D85A30" w:sz="1"/>
              <w:bottom w:val="single" w:color="D85A30" w:sz="1"/>
              <w:right w:val="single" w:color="D85A30" w:sz="1"/>
            </w:tcBorders>
            <w:shd w:fill="D85A30" w:val="clear"/>
            <w:tcMar>
              <w:top w:type="dxa" w:w="100"/>
              <w:left w:type="dxa" w:w="140"/>
              <w:bottom w:type="dxa" w:w="100"/>
              <w:right w:type="dxa" w:w="140"/>
            </w:tcMar>
            <w:vAlign w:val="center"/>
          </w:tcPr>
          <w:p>
            <w:r>
              <w:rPr>
                <w:rFonts w:ascii="Arial" w:cs="Arial" w:eastAsia="Arial" w:hAnsi="Arial"/>
                <w:b/>
                <w:bCs/>
                <w:color w:val="FFFFFF"/>
                <w:sz w:val="20"/>
                <w:szCs w:val="20"/>
              </w:rPr>
              <w:t xml:space="preserve">CRITICAL</w:t>
            </w:r>
          </w:p>
        </w:tc>
        <w:tc>
          <w:tcPr>
            <w:tcW w:type="dxa" w:w="8860"/>
            <w:tcBorders>
              <w:top w:val="single" w:color="D85A30" w:sz="1"/>
              <w:left w:val="single" w:color="D85A30" w:sz="1"/>
              <w:bottom w:val="single" w:color="D85A30" w:sz="1"/>
              <w:right w:val="single" w:color="D85A30" w:sz="1"/>
            </w:tcBorders>
            <w:shd w:fill="FFF8F5" w:val="clear"/>
            <w:tcMar>
              <w:top w:type="dxa" w:w="100"/>
              <w:left w:type="dxa" w:w="140"/>
              <w:bottom w:type="dxa" w:w="100"/>
              <w:right w:type="dxa" w:w="140"/>
            </w:tcMar>
          </w:tcPr>
          <w:p>
            <w:r>
              <w:rPr>
                <w:rFonts w:ascii="Arial" w:cs="Arial" w:eastAsia="Arial" w:hAnsi="Arial"/>
                <w:color w:val="1A1A2E"/>
                <w:sz w:val="22"/>
                <w:szCs w:val="22"/>
              </w:rPr>
              <w:t xml:space="preserve">The pipeline progress bars and log lines in the UI are NOT driven by timers. They reflect real values written by the Celery worker to PostgreSQL. The React frontend is a read-only display of backend state.</w:t>
            </w:r>
          </w:p>
        </w:tc>
      </w:tr>
    </w:tbl>
    <w:p>
      <w:pPr>
        <w:spacing w:after="120" w:before="0"/>
      </w:pPr>
      <w:r>
        <w:t xml:space="preserve"/>
      </w:r>
    </w:p>
    <w:p>
      <w:pPr>
        <w:pStyle w:val="Heading2"/>
        <w:spacing w:after="120" w:before="280"/>
      </w:pPr>
      <w:r>
        <w:rPr>
          <w:rFonts w:ascii="Arial" w:cs="Arial" w:eastAsia="Arial" w:hAnsi="Arial"/>
          <w:b/>
          <w:bCs/>
          <w:color w:val="7F77DD"/>
          <w:sz w:val="28"/>
          <w:szCs w:val="28"/>
        </w:rPr>
        <w:t xml:space="preserve">4.3 Multi-Platform File Ingestion</w:t>
      </w:r>
    </w:p>
    <w:p>
      <w:pPr>
        <w:spacing w:after="120" w:before="80"/>
      </w:pPr>
      <w:r>
        <w:rPr>
          <w:rFonts w:ascii="Arial" w:cs="Arial" w:eastAsia="Arial" w:hAnsi="Arial"/>
          <w:b w:val="false"/>
          <w:bCs w:val="false"/>
          <w:i w:val="false"/>
          <w:iCs w:val="false"/>
          <w:color w:val="5A5870"/>
          <w:sz w:val="22"/>
          <w:szCs w:val="22"/>
        </w:rPr>
        <w:t xml:space="preserve">SpatialVision accepts raw output from five instrument platforms and converts all of them to a single standardised format: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60"/>
        <w:gridCol w:w="2000"/>
        <w:gridCol w:w="3000"/>
      </w:tblGrid>
      <w:tr>
        <w:trPr>
          <w:tblHeader/>
        </w:trPr>
        <w:tc>
          <w:tcPr>
            <w:tcW w:type="dxa" w:w="1800"/>
            <w:tcBorders>
              <w:top w:val="single" w:color="D0CEF5" w:sz="1"/>
              <w:left w:val="single" w:color="D0CEF5" w:sz="1"/>
              <w:bottom w:val="single" w:color="D0CEF5" w:sz="1"/>
              <w:right w:val="single" w:color="D0CEF5" w:sz="1"/>
            </w:tcBorders>
            <w:shd w:fill="7F77DD" w:val="clear"/>
            <w:tcMar>
              <w:top w:type="dxa" w:w="100"/>
              <w:left w:type="dxa" w:w="140"/>
              <w:bottom w:type="dxa" w:w="100"/>
              <w:right w:type="dxa" w:w="140"/>
            </w:tcMar>
          </w:tcPr>
          <w:p>
            <w:r>
              <w:rPr>
                <w:rFonts w:ascii="Arial" w:cs="Arial" w:eastAsia="Arial" w:hAnsi="Arial"/>
                <w:b/>
                <w:bCs/>
                <w:color w:val="FFFFFF"/>
                <w:sz w:val="20"/>
                <w:szCs w:val="20"/>
              </w:rPr>
              <w:t xml:space="preserve">Platform</w:t>
            </w:r>
          </w:p>
        </w:tc>
        <w:tc>
          <w:tcPr>
            <w:tcW w:type="dxa" w:w="2560"/>
            <w:tcBorders>
              <w:top w:val="single" w:color="D0CEF5" w:sz="1"/>
              <w:left w:val="single" w:color="D0CEF5" w:sz="1"/>
              <w:bottom w:val="single" w:color="D0CEF5" w:sz="1"/>
              <w:right w:val="single" w:color="D0CEF5" w:sz="1"/>
            </w:tcBorders>
            <w:shd w:fill="7F77DD" w:val="clear"/>
            <w:tcMar>
              <w:top w:type="dxa" w:w="100"/>
              <w:left w:type="dxa" w:w="140"/>
              <w:bottom w:type="dxa" w:w="100"/>
              <w:right w:type="dxa" w:w="140"/>
            </w:tcMar>
          </w:tcPr>
          <w:p>
            <w:r>
              <w:rPr>
                <w:rFonts w:ascii="Arial" w:cs="Arial" w:eastAsia="Arial" w:hAnsi="Arial"/>
                <w:b/>
                <w:bCs/>
                <w:color w:val="FFFFFF"/>
                <w:sz w:val="20"/>
                <w:szCs w:val="20"/>
              </w:rPr>
              <w:t xml:space="preserve">Key files</w:t>
            </w:r>
          </w:p>
        </w:tc>
        <w:tc>
          <w:tcPr>
            <w:tcW w:type="dxa" w:w="2000"/>
            <w:tcBorders>
              <w:top w:val="single" w:color="D0CEF5" w:sz="1"/>
              <w:left w:val="single" w:color="D0CEF5" w:sz="1"/>
              <w:bottom w:val="single" w:color="D0CEF5" w:sz="1"/>
              <w:right w:val="single" w:color="D0CEF5" w:sz="1"/>
            </w:tcBorders>
            <w:shd w:fill="7F77DD" w:val="clear"/>
            <w:tcMar>
              <w:top w:type="dxa" w:w="100"/>
              <w:left w:type="dxa" w:w="140"/>
              <w:bottom w:type="dxa" w:w="100"/>
              <w:right w:type="dxa" w:w="140"/>
            </w:tcMar>
          </w:tcPr>
          <w:p>
            <w:r>
              <w:rPr>
                <w:rFonts w:ascii="Arial" w:cs="Arial" w:eastAsia="Arial" w:hAnsi="Arial"/>
                <w:b/>
                <w:bCs/>
                <w:color w:val="FFFFFF"/>
                <w:sz w:val="20"/>
                <w:szCs w:val="20"/>
              </w:rPr>
              <w:t xml:space="preserve">Size range</w:t>
            </w:r>
          </w:p>
        </w:tc>
        <w:tc>
          <w:tcPr>
            <w:tcW w:type="dxa" w:w="3000"/>
            <w:tcBorders>
              <w:top w:val="single" w:color="D0CEF5" w:sz="1"/>
              <w:left w:val="single" w:color="D0CEF5" w:sz="1"/>
              <w:bottom w:val="single" w:color="D0CEF5" w:sz="1"/>
              <w:right w:val="single" w:color="D0CEF5" w:sz="1"/>
            </w:tcBorders>
            <w:shd w:fill="7F77DD" w:val="clear"/>
            <w:tcMar>
              <w:top w:type="dxa" w:w="100"/>
              <w:left w:type="dxa" w:w="140"/>
              <w:bottom w:type="dxa" w:w="100"/>
              <w:right w:type="dxa" w:w="140"/>
            </w:tcMar>
          </w:tcPr>
          <w:p>
            <w:r>
              <w:rPr>
                <w:rFonts w:ascii="Arial" w:cs="Arial" w:eastAsia="Arial" w:hAnsi="Arial"/>
                <w:b/>
                <w:bCs/>
                <w:color w:val="FFFFFF"/>
                <w:sz w:val="20"/>
                <w:szCs w:val="20"/>
              </w:rPr>
              <w:t xml:space="preserve">Main challenge</w:t>
            </w:r>
          </w:p>
        </w:tc>
      </w:tr>
      <w:tr>
        <w:trPr>
          <w:tblHeader w:val="false"/>
        </w:trPr>
        <w:tc>
          <w:tcPr>
            <w:tcW w:type="dxa" w:w="18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10x Visium HD</w:t>
            </w:r>
          </w:p>
        </w:tc>
        <w:tc>
          <w:tcPr>
            <w:tcW w:type="dxa" w:w="256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filtered_feature_bc_matrix/, spatial/</w:t>
            </w:r>
          </w:p>
        </w:tc>
        <w:tc>
          <w:tcPr>
            <w:tcW w:type="dxa" w:w="20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2-50 GB</w:t>
            </w:r>
          </w:p>
        </w:tc>
        <w:tc>
          <w:tcPr>
            <w:tcW w:type="dxa" w:w="30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Standard — handled by Scanpy read_visium()</w:t>
            </w:r>
          </w:p>
        </w:tc>
      </w:tr>
      <w:tr>
        <w:trPr>
          <w:tblHeader w:val="false"/>
        </w:trPr>
        <w:tc>
          <w:tcPr>
            <w:tcW w:type="dxa" w:w="18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10x Xenium</w:t>
            </w:r>
          </w:p>
        </w:tc>
        <w:tc>
          <w:tcPr>
            <w:tcW w:type="dxa" w:w="256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cell_feature_matrix.h5, morphology.ome.tif</w:t>
            </w:r>
          </w:p>
        </w:tc>
        <w:tc>
          <w:tcPr>
            <w:tcW w:type="dxa" w:w="20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10-200 GB</w:t>
            </w:r>
          </w:p>
        </w:tc>
        <w:tc>
          <w:tcPr>
            <w:tcW w:type="dxa" w:w="30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80 GB TIFF requires chunked upload + tiled rendering</w:t>
            </w:r>
          </w:p>
        </w:tc>
      </w:tr>
      <w:tr>
        <w:trPr>
          <w:tblHeader w:val="false"/>
        </w:trPr>
        <w:tc>
          <w:tcPr>
            <w:tcW w:type="dxa" w:w="18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NanoString CosMx</w:t>
            </w:r>
          </w:p>
        </w:tc>
        <w:tc>
          <w:tcPr>
            <w:tcW w:type="dxa" w:w="256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*_exprMat_file.csv, CellComposite/*.jpg</w:t>
            </w:r>
          </w:p>
        </w:tc>
        <w:tc>
          <w:tcPr>
            <w:tcW w:type="dxa" w:w="20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5-100 GB</w:t>
            </w:r>
          </w:p>
        </w:tc>
        <w:tc>
          <w:tcPr>
            <w:tcW w:type="dxa" w:w="30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FOV stitching to reconstruct full tissue slide</w:t>
            </w:r>
          </w:p>
        </w:tc>
      </w:tr>
      <w:tr>
        <w:trPr>
          <w:tblHeader w:val="false"/>
        </w:trPr>
        <w:tc>
          <w:tcPr>
            <w:tcW w:type="dxa" w:w="18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Vizgen MERSCOPE</w:t>
            </w:r>
          </w:p>
        </w:tc>
        <w:tc>
          <w:tcPr>
            <w:tcW w:type="dxa" w:w="256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cell_by_gene.csv, mosaic_*.tif</w:t>
            </w:r>
          </w:p>
        </w:tc>
        <w:tc>
          <w:tcPr>
            <w:tcW w:type="dxa" w:w="20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5-80 GB</w:t>
            </w:r>
          </w:p>
        </w:tc>
        <w:tc>
          <w:tcPr>
            <w:tcW w:type="dxa" w:w="30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Multi-channel TIFF stack, proprietary .vzg format</w:t>
            </w:r>
          </w:p>
        </w:tc>
      </w:tr>
      <w:tr>
        <w:trPr>
          <w:tblHeader w:val="false"/>
        </w:trPr>
        <w:tc>
          <w:tcPr>
            <w:tcW w:type="dxa" w:w="18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Slide-seq v2</w:t>
            </w:r>
          </w:p>
        </w:tc>
        <w:tc>
          <w:tcPr>
            <w:tcW w:type="dxa" w:w="256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*.count.matrix.gz, BeadLocationsForR.csv</w:t>
            </w:r>
          </w:p>
        </w:tc>
        <w:tc>
          <w:tcPr>
            <w:tcW w:type="dxa" w:w="20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1-10 GB</w:t>
            </w:r>
          </w:p>
        </w:tc>
        <w:tc>
          <w:tcPr>
            <w:tcW w:type="dxa" w:w="30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Smallest files — fastest pipeline (~20 min)</w:t>
            </w:r>
          </w:p>
        </w:tc>
      </w:tr>
    </w:tbl>
    <w:p>
      <w:pPr>
        <w:spacing w:after="120" w:before="80"/>
      </w:pPr>
      <w:r>
        <w:rPr>
          <w:rFonts w:ascii="Arial" w:cs="Arial" w:eastAsia="Arial" w:hAnsi="Arial"/>
          <w:b w:val="false"/>
          <w:bCs w:val="false"/>
          <w:i/>
          <w:iCs/>
          <w:color w:val="5A5870"/>
          <w:sz w:val="22"/>
          <w:szCs w:val="22"/>
        </w:rPr>
        <w:t xml:space="preserve">All formats are converted to AnnData (.h5ad) on ingest. Once in this format, the identical Scanpy pipeline runs regardless of source platform — enabling direct cross-platform comparison for the first time.</w:t>
      </w:r>
    </w:p>
    <w:p>
      <w:pPr>
        <w:spacing w:after="120" w:before="0"/>
      </w:pPr>
      <w:r>
        <w:t xml:space="preserve"/>
      </w:r>
    </w:p>
    <w:p>
      <w:pPr>
        <w:pStyle w:val="Heading2"/>
        <w:spacing w:after="120" w:before="280"/>
      </w:pPr>
      <w:r>
        <w:rPr>
          <w:rFonts w:ascii="Arial" w:cs="Arial" w:eastAsia="Arial" w:hAnsi="Arial"/>
          <w:b/>
          <w:bCs/>
          <w:color w:val="7F77DD"/>
          <w:sz w:val="28"/>
          <w:szCs w:val="28"/>
        </w:rPr>
        <w:t xml:space="preserve">4.4 Multitenancy &amp; Security</w:t>
      </w:r>
    </w:p>
    <w:p>
      <w:pPr>
        <w:pStyle w:val="ListParagraph"/>
        <w:numPr>
          <w:ilvl w:val="0"/>
          <w:numId w:val="3"/>
        </w:numPr>
        <w:spacing w:after="40" w:before="40"/>
      </w:pPr>
      <w:r>
        <w:rPr>
          <w:rFonts w:ascii="Arial" w:cs="Arial" w:eastAsia="Arial" w:hAnsi="Arial"/>
          <w:color w:val="5A5870"/>
          <w:sz w:val="22"/>
          <w:szCs w:val="22"/>
        </w:rPr>
        <w:t xml:space="preserve">Every database query is filtered by organisation_id — one lab never sees another's data</w:t>
      </w:r>
    </w:p>
    <w:p>
      <w:pPr>
        <w:pStyle w:val="ListParagraph"/>
        <w:numPr>
          <w:ilvl w:val="0"/>
          <w:numId w:val="3"/>
        </w:numPr>
        <w:spacing w:after="40" w:before="40"/>
      </w:pPr>
      <w:r>
        <w:rPr>
          <w:rFonts w:ascii="Arial" w:cs="Arial" w:eastAsia="Arial" w:hAnsi="Arial"/>
          <w:color w:val="5A5870"/>
          <w:sz w:val="22"/>
          <w:szCs w:val="22"/>
        </w:rPr>
        <w:t xml:space="preserve">S3 prefixes are scoped per organisation: orgs/{org_uuid}/samples/{sample_uuid}/</w:t>
      </w:r>
    </w:p>
    <w:p>
      <w:pPr>
        <w:pStyle w:val="ListParagraph"/>
        <w:numPr>
          <w:ilvl w:val="0"/>
          <w:numId w:val="3"/>
        </w:numPr>
        <w:spacing w:after="40" w:before="40"/>
      </w:pPr>
      <w:r>
        <w:rPr>
          <w:rFonts w:ascii="Arial" w:cs="Arial" w:eastAsia="Arial" w:hAnsi="Arial"/>
          <w:color w:val="5A5870"/>
          <w:sz w:val="22"/>
          <w:szCs w:val="22"/>
        </w:rPr>
        <w:t xml:space="preserve">All files encrypted at rest (AES-256) and in transit (TLS 1.3)</w:t>
      </w:r>
    </w:p>
    <w:p>
      <w:pPr>
        <w:pStyle w:val="ListParagraph"/>
        <w:numPr>
          <w:ilvl w:val="0"/>
          <w:numId w:val="3"/>
        </w:numPr>
        <w:spacing w:after="40" w:before="40"/>
      </w:pPr>
      <w:r>
        <w:rPr>
          <w:rFonts w:ascii="Arial" w:cs="Arial" w:eastAsia="Arial" w:hAnsi="Arial"/>
          <w:color w:val="5A5870"/>
          <w:sz w:val="22"/>
          <w:szCs w:val="22"/>
        </w:rPr>
        <w:t xml:space="preserve">JWT tokens expire after 1 hour, refresh tokens after 7 days</w:t>
      </w:r>
    </w:p>
    <w:p>
      <w:pPr>
        <w:pStyle w:val="ListParagraph"/>
        <w:numPr>
          <w:ilvl w:val="0"/>
          <w:numId w:val="3"/>
        </w:numPr>
        <w:spacing w:after="40" w:before="40"/>
      </w:pPr>
      <w:r>
        <w:rPr>
          <w:rFonts w:ascii="Arial" w:cs="Arial" w:eastAsia="Arial" w:hAnsi="Arial"/>
          <w:color w:val="5A5870"/>
          <w:sz w:val="22"/>
          <w:szCs w:val="22"/>
        </w:rPr>
        <w:t xml:space="preserve">Full audit log of every user action stored in PostgreSQL</w:t>
      </w:r>
    </w:p>
    <w:p>
      <w:pPr>
        <w:pStyle w:val="ListParagraph"/>
        <w:numPr>
          <w:ilvl w:val="0"/>
          <w:numId w:val="3"/>
        </w:numPr>
        <w:spacing w:after="40" w:before="40"/>
      </w:pPr>
      <w:r>
        <w:rPr>
          <w:rFonts w:ascii="Arial" w:cs="Arial" w:eastAsia="Arial" w:hAnsi="Arial"/>
          <w:color w:val="5A5870"/>
          <w:sz w:val="22"/>
          <w:szCs w:val="22"/>
        </w:rPr>
        <w:t xml:space="preserve">HIPAA BAA signing flow built into enterprise onboarding</w:t>
      </w:r>
    </w:p>
    <w:p>
      <w:pPr>
        <w:pStyle w:val="ListParagraph"/>
        <w:numPr>
          <w:ilvl w:val="0"/>
          <w:numId w:val="3"/>
        </w:numPr>
        <w:spacing w:after="40" w:before="40"/>
      </w:pPr>
      <w:r>
        <w:rPr>
          <w:rFonts w:ascii="Arial" w:cs="Arial" w:eastAsia="Arial" w:hAnsi="Arial"/>
          <w:color w:val="5A5870"/>
          <w:sz w:val="22"/>
          <w:szCs w:val="22"/>
        </w:rPr>
        <w:t xml:space="preserve">Row-level PostgreSQL security enforced at the ORM level</w:t>
      </w:r>
    </w:p>
    <w:p>
      <w:r>
        <w:br w:type="page"/>
      </w:r>
    </w:p>
    <w:p>
      <w:pPr>
        <w:pStyle w:val="Heading1"/>
        <w:spacing w:after="160" w:before="360"/>
      </w:pPr>
      <w:r>
        <w:rPr>
          <w:rFonts w:ascii="Arial" w:cs="Arial" w:eastAsia="Arial" w:hAnsi="Arial"/>
          <w:b/>
          <w:bCs/>
          <w:color w:val="1A1A2E"/>
          <w:sz w:val="36"/>
          <w:szCs w:val="36"/>
        </w:rPr>
        <w:t xml:space="preserve">5. Technology Stack</w:t>
      </w:r>
    </w:p>
    <w:p>
      <w:pPr>
        <w:pBdr>
          <w:bottom w:val="single" w:color="7F77DD" w:sz="4" w:space="1"/>
        </w:pBdr>
        <w:spacing w:after="160" w:before="160"/>
      </w:pPr>
      <w:r>
        <w:t xml:space="preserve"/>
      </w:r>
    </w:p>
    <w:p>
      <w:pPr>
        <w:pStyle w:val="Heading2"/>
        <w:spacing w:after="120" w:before="280"/>
      </w:pPr>
      <w:r>
        <w:rPr>
          <w:rFonts w:ascii="Arial" w:cs="Arial" w:eastAsia="Arial" w:hAnsi="Arial"/>
          <w:b/>
          <w:bCs/>
          <w:color w:val="7F77DD"/>
          <w:sz w:val="28"/>
          <w:szCs w:val="28"/>
        </w:rPr>
        <w:t xml:space="preserve">5.1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60"/>
        <w:gridCol w:w="5000"/>
      </w:tblGrid>
      <w:tr>
        <w:trPr>
          <w:tblHeader/>
        </w:trPr>
        <w:tc>
          <w:tcPr>
            <w:tcW w:type="dxa" w:w="2000"/>
            <w:tcBorders>
              <w:top w:val="single" w:color="D0CEF5" w:sz="1"/>
              <w:left w:val="single" w:color="D0CEF5" w:sz="1"/>
              <w:bottom w:val="single" w:color="D0CEF5" w:sz="1"/>
              <w:right w:val="single" w:color="D0CEF5" w:sz="1"/>
            </w:tcBorders>
            <w:shd w:fill="7F77DD"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2360"/>
            <w:tcBorders>
              <w:top w:val="single" w:color="D0CEF5" w:sz="1"/>
              <w:left w:val="single" w:color="D0CEF5" w:sz="1"/>
              <w:bottom w:val="single" w:color="D0CEF5" w:sz="1"/>
              <w:right w:val="single" w:color="D0CEF5" w:sz="1"/>
            </w:tcBorders>
            <w:shd w:fill="7F77DD"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5000"/>
            <w:tcBorders>
              <w:top w:val="single" w:color="D0CEF5" w:sz="1"/>
              <w:left w:val="single" w:color="D0CEF5" w:sz="1"/>
              <w:bottom w:val="single" w:color="D0CEF5" w:sz="1"/>
              <w:right w:val="single" w:color="D0CEF5" w:sz="1"/>
            </w:tcBorders>
            <w:shd w:fill="7F77DD" w:val="clear"/>
            <w:tcMar>
              <w:top w:type="dxa" w:w="100"/>
              <w:left w:type="dxa" w:w="140"/>
              <w:bottom w:type="dxa" w:w="100"/>
              <w:right w:type="dxa" w:w="140"/>
            </w:tcMar>
          </w:tcPr>
          <w:p>
            <w:r>
              <w:rPr>
                <w:rFonts w:ascii="Arial" w:cs="Arial" w:eastAsia="Arial" w:hAnsi="Arial"/>
                <w:b/>
                <w:bCs/>
                <w:color w:val="FFFFFF"/>
                <w:sz w:val="20"/>
                <w:szCs w:val="20"/>
              </w:rPr>
              <w:t xml:space="preserve">Why chosen</w:t>
            </w:r>
          </w:p>
        </w:tc>
      </w:tr>
      <w:tr>
        <w:trPr>
          <w:tblHeader w:val="false"/>
        </w:trPr>
        <w:tc>
          <w:tcPr>
            <w:tcW w:type="dxa" w:w="20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API framework</w:t>
            </w:r>
          </w:p>
        </w:tc>
        <w:tc>
          <w:tcPr>
            <w:tcW w:type="dxa" w:w="236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Django 4.2 + DRF</w:t>
            </w:r>
          </w:p>
        </w:tc>
        <w:tc>
          <w:tcPr>
            <w:tcW w:type="dxa" w:w="50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Mature ORM, built-in admin, DRF serialisers handle complex nested data</w:t>
            </w:r>
          </w:p>
        </w:tc>
      </w:tr>
      <w:tr>
        <w:trPr>
          <w:tblHeader w:val="false"/>
        </w:trPr>
        <w:tc>
          <w:tcPr>
            <w:tcW w:type="dxa" w:w="20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API documentation</w:t>
            </w:r>
          </w:p>
        </w:tc>
        <w:tc>
          <w:tcPr>
            <w:tcW w:type="dxa" w:w="236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drf-spectacular</w:t>
            </w:r>
          </w:p>
        </w:tc>
        <w:tc>
          <w:tcPr>
            <w:tcW w:type="dxa" w:w="50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Auto-generates Swagger UI from code — zero manual doc maintenance</w:t>
            </w:r>
          </w:p>
        </w:tc>
      </w:tr>
      <w:tr>
        <w:trPr>
          <w:tblHeader w:val="false"/>
        </w:trPr>
        <w:tc>
          <w:tcPr>
            <w:tcW w:type="dxa" w:w="20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Task queue</w:t>
            </w:r>
          </w:p>
        </w:tc>
        <w:tc>
          <w:tcPr>
            <w:tcW w:type="dxa" w:w="236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Celery 5.3 + Redis</w:t>
            </w:r>
          </w:p>
        </w:tc>
        <w:tc>
          <w:tcPr>
            <w:tcW w:type="dxa" w:w="50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Industry standard for async Python tasks; Redis broker is fast and reliable</w:t>
            </w:r>
          </w:p>
        </w:tc>
      </w:tr>
      <w:tr>
        <w:trPr>
          <w:tblHeader w:val="false"/>
        </w:trPr>
        <w:tc>
          <w:tcPr>
            <w:tcW w:type="dxa" w:w="20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Analysis engine</w:t>
            </w:r>
          </w:p>
        </w:tc>
        <w:tc>
          <w:tcPr>
            <w:tcW w:type="dxa" w:w="236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Scanpy + Squidpy</w:t>
            </w:r>
          </w:p>
        </w:tc>
        <w:tc>
          <w:tcPr>
            <w:tcW w:type="dxa" w:w="50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Standard tools used by every spatial transcriptomics lab — familiar to users</w:t>
            </w:r>
          </w:p>
        </w:tc>
      </w:tr>
      <w:tr>
        <w:trPr>
          <w:tblHeader w:val="false"/>
        </w:trPr>
        <w:tc>
          <w:tcPr>
            <w:tcW w:type="dxa" w:w="20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AI layer</w:t>
            </w:r>
          </w:p>
        </w:tc>
        <w:tc>
          <w:tcPr>
            <w:tcW w:type="dxa" w:w="236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Anthropic Claude API</w:t>
            </w:r>
          </w:p>
        </w:tc>
        <w:tc>
          <w:tcPr>
            <w:tcW w:type="dxa" w:w="50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Best-in-class biological interpretation of marker gene signatures</w:t>
            </w:r>
          </w:p>
        </w:tc>
      </w:tr>
      <w:tr>
        <w:trPr>
          <w:tblHeader w:val="false"/>
        </w:trPr>
        <w:tc>
          <w:tcPr>
            <w:tcW w:type="dxa" w:w="20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Auth</w:t>
            </w:r>
          </w:p>
        </w:tc>
        <w:tc>
          <w:tcPr>
            <w:tcW w:type="dxa" w:w="236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JWT (SimpleJWT)</w:t>
            </w:r>
          </w:p>
        </w:tc>
        <w:tc>
          <w:tcPr>
            <w:tcW w:type="dxa" w:w="50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Stateless, scalable, standard for SPA frontends</w:t>
            </w:r>
          </w:p>
        </w:tc>
      </w:tr>
      <w:tr>
        <w:trPr>
          <w:tblHeader w:val="false"/>
        </w:trPr>
        <w:tc>
          <w:tcPr>
            <w:tcW w:type="dxa" w:w="20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Database</w:t>
            </w:r>
          </w:p>
        </w:tc>
        <w:tc>
          <w:tcPr>
            <w:tcW w:type="dxa" w:w="236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PostgreSQL 15</w:t>
            </w:r>
          </w:p>
        </w:tc>
        <w:tc>
          <w:tcPr>
            <w:tcW w:type="dxa" w:w="50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ACID compliance, JSON fields for results, row-level security</w:t>
            </w:r>
          </w:p>
        </w:tc>
      </w:tr>
      <w:tr>
        <w:trPr>
          <w:tblHeader w:val="false"/>
        </w:trPr>
        <w:tc>
          <w:tcPr>
            <w:tcW w:type="dxa" w:w="20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File storage</w:t>
            </w:r>
          </w:p>
        </w:tc>
        <w:tc>
          <w:tcPr>
            <w:tcW w:type="dxa" w:w="236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AWS S3</w:t>
            </w:r>
          </w:p>
        </w:tc>
        <w:tc>
          <w:tcPr>
            <w:tcW w:type="dxa" w:w="50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Unlimited scale, multipart upload for 200 GB files, lifecycle policies</w:t>
            </w:r>
          </w:p>
        </w:tc>
      </w:tr>
      <w:tr>
        <w:trPr>
          <w:tblHeader w:val="false"/>
        </w:trPr>
        <w:tc>
          <w:tcPr>
            <w:tcW w:type="dxa" w:w="20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Billing</w:t>
            </w:r>
          </w:p>
        </w:tc>
        <w:tc>
          <w:tcPr>
            <w:tcW w:type="dxa" w:w="236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Stripe</w:t>
            </w:r>
          </w:p>
        </w:tc>
        <w:tc>
          <w:tcPr>
            <w:tcW w:type="dxa" w:w="50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Subscription management, webhooks, invoice PDF generation</w:t>
            </w:r>
          </w:p>
        </w:tc>
      </w:tr>
    </w:tbl>
    <w:p>
      <w:pPr>
        <w:spacing w:after="120" w:before="0"/>
      </w:pPr>
      <w:r>
        <w:t xml:space="preserve"/>
      </w:r>
    </w:p>
    <w:p>
      <w:pPr>
        <w:pStyle w:val="Heading2"/>
        <w:spacing w:after="120" w:before="280"/>
      </w:pPr>
      <w:r>
        <w:rPr>
          <w:rFonts w:ascii="Arial" w:cs="Arial" w:eastAsia="Arial" w:hAnsi="Arial"/>
          <w:b/>
          <w:bCs/>
          <w:color w:val="7F77DD"/>
          <w:sz w:val="28"/>
          <w:szCs w:val="28"/>
        </w:rPr>
        <w:t xml:space="preserve">5.2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60"/>
        <w:gridCol w:w="5000"/>
      </w:tblGrid>
      <w:tr>
        <w:trPr>
          <w:tblHeader/>
        </w:trPr>
        <w:tc>
          <w:tcPr>
            <w:tcW w:type="dxa" w:w="2000"/>
            <w:tcBorders>
              <w:top w:val="single" w:color="D0CEF5" w:sz="1"/>
              <w:left w:val="single" w:color="D0CEF5" w:sz="1"/>
              <w:bottom w:val="single" w:color="D0CEF5" w:sz="1"/>
              <w:right w:val="single" w:color="D0CEF5" w:sz="1"/>
            </w:tcBorders>
            <w:shd w:fill="7F77DD"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2360"/>
            <w:tcBorders>
              <w:top w:val="single" w:color="D0CEF5" w:sz="1"/>
              <w:left w:val="single" w:color="D0CEF5" w:sz="1"/>
              <w:bottom w:val="single" w:color="D0CEF5" w:sz="1"/>
              <w:right w:val="single" w:color="D0CEF5" w:sz="1"/>
            </w:tcBorders>
            <w:shd w:fill="7F77DD"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5000"/>
            <w:tcBorders>
              <w:top w:val="single" w:color="D0CEF5" w:sz="1"/>
              <w:left w:val="single" w:color="D0CEF5" w:sz="1"/>
              <w:bottom w:val="single" w:color="D0CEF5" w:sz="1"/>
              <w:right w:val="single" w:color="D0CEF5" w:sz="1"/>
            </w:tcBorders>
            <w:shd w:fill="7F77DD" w:val="clear"/>
            <w:tcMar>
              <w:top w:type="dxa" w:w="100"/>
              <w:left w:type="dxa" w:w="140"/>
              <w:bottom w:type="dxa" w:w="100"/>
              <w:right w:type="dxa" w:w="140"/>
            </w:tcMar>
          </w:tcPr>
          <w:p>
            <w:r>
              <w:rPr>
                <w:rFonts w:ascii="Arial" w:cs="Arial" w:eastAsia="Arial" w:hAnsi="Arial"/>
                <w:b/>
                <w:bCs/>
                <w:color w:val="FFFFFF"/>
                <w:sz w:val="20"/>
                <w:szCs w:val="20"/>
              </w:rPr>
              <w:t xml:space="preserve">Why chosen</w:t>
            </w:r>
          </w:p>
        </w:tc>
      </w:tr>
      <w:tr>
        <w:trPr>
          <w:tblHeader w:val="false"/>
        </w:trPr>
        <w:tc>
          <w:tcPr>
            <w:tcW w:type="dxa" w:w="20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Framework</w:t>
            </w:r>
          </w:p>
        </w:tc>
        <w:tc>
          <w:tcPr>
            <w:tcW w:type="dxa" w:w="236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React 18 + TypeScript</w:t>
            </w:r>
          </w:p>
        </w:tc>
        <w:tc>
          <w:tcPr>
            <w:tcW w:type="dxa" w:w="50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Large ecosystem, strict typing prevents runtime errors in complex data structures</w:t>
            </w:r>
          </w:p>
        </w:tc>
      </w:tr>
      <w:tr>
        <w:trPr>
          <w:tblHeader w:val="false"/>
        </w:trPr>
        <w:tc>
          <w:tcPr>
            <w:tcW w:type="dxa" w:w="20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Routing</w:t>
            </w:r>
          </w:p>
        </w:tc>
        <w:tc>
          <w:tcPr>
            <w:tcW w:type="dxa" w:w="236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React Router v6</w:t>
            </w:r>
          </w:p>
        </w:tc>
        <w:tc>
          <w:tcPr>
            <w:tcW w:type="dxa" w:w="50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Standard SPA routing with protected routes</w:t>
            </w:r>
          </w:p>
        </w:tc>
      </w:tr>
      <w:tr>
        <w:trPr>
          <w:tblHeader w:val="false"/>
        </w:trPr>
        <w:tc>
          <w:tcPr>
            <w:tcW w:type="dxa" w:w="20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Tissue viewer</w:t>
            </w:r>
          </w:p>
        </w:tc>
        <w:tc>
          <w:tcPr>
            <w:tcW w:type="dxa" w:w="236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HTML5 Canvas</w:t>
            </w:r>
          </w:p>
        </w:tc>
        <w:tc>
          <w:tcPr>
            <w:tcW w:type="dxa" w:w="50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Renders 15,000+ spots at 60fps with gene expression overlays</w:t>
            </w:r>
          </w:p>
        </w:tc>
      </w:tr>
      <w:tr>
        <w:trPr>
          <w:tblHeader w:val="false"/>
        </w:trPr>
        <w:tc>
          <w:tcPr>
            <w:tcW w:type="dxa" w:w="20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Data polling</w:t>
            </w:r>
          </w:p>
        </w:tc>
        <w:tc>
          <w:tcPr>
            <w:tcW w:type="dxa" w:w="236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Custom React hooks</w:t>
            </w:r>
          </w:p>
        </w:tc>
        <w:tc>
          <w:tcPr>
            <w:tcW w:type="dxa" w:w="50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usePipelineStatus polls every 3s, auto-stops on terminal state</w:t>
            </w:r>
          </w:p>
        </w:tc>
      </w:tr>
      <w:tr>
        <w:trPr>
          <w:tblHeader w:val="false"/>
        </w:trPr>
        <w:tc>
          <w:tcPr>
            <w:tcW w:type="dxa" w:w="20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Upload</w:t>
            </w:r>
          </w:p>
        </w:tc>
        <w:tc>
          <w:tcPr>
            <w:tcW w:type="dxa" w:w="236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Custom chunked hook</w:t>
            </w:r>
          </w:p>
        </w:tc>
        <w:tc>
          <w:tcPr>
            <w:tcW w:type="dxa" w:w="50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useChunkedUpload splits files into 50 MB parts, uploads directly to S3</w:t>
            </w:r>
          </w:p>
        </w:tc>
      </w:tr>
      <w:tr>
        <w:trPr>
          <w:tblHeader w:val="false"/>
        </w:trPr>
        <w:tc>
          <w:tcPr>
            <w:tcW w:type="dxa" w:w="20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Styling</w:t>
            </w:r>
          </w:p>
        </w:tc>
        <w:tc>
          <w:tcPr>
            <w:tcW w:type="dxa" w:w="236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CSS-in-JS (inline)</w:t>
            </w:r>
          </w:p>
        </w:tc>
        <w:tc>
          <w:tcPr>
            <w:tcW w:type="dxa" w:w="50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No build-time complexity, full control over responsive layout</w:t>
            </w:r>
          </w:p>
        </w:tc>
      </w:tr>
      <w:tr>
        <w:trPr>
          <w:tblHeader w:val="false"/>
        </w:trPr>
        <w:tc>
          <w:tcPr>
            <w:tcW w:type="dxa" w:w="20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Icons</w:t>
            </w:r>
          </w:p>
        </w:tc>
        <w:tc>
          <w:tcPr>
            <w:tcW w:type="dxa" w:w="236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Tabler Icons</w:t>
            </w:r>
          </w:p>
        </w:tc>
        <w:tc>
          <w:tcPr>
            <w:tcW w:type="dxa" w:w="50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4,000+ scientific icons, consistent style, MIT licence</w:t>
            </w:r>
          </w:p>
        </w:tc>
      </w:tr>
    </w:tbl>
    <w:p>
      <w:pPr>
        <w:spacing w:after="120" w:before="0"/>
      </w:pPr>
      <w:r>
        <w:t xml:space="preserve"/>
      </w:r>
    </w:p>
    <w:p>
      <w:pPr>
        <w:pStyle w:val="Heading2"/>
        <w:spacing w:after="120" w:before="280"/>
      </w:pPr>
      <w:r>
        <w:rPr>
          <w:rFonts w:ascii="Arial" w:cs="Arial" w:eastAsia="Arial" w:hAnsi="Arial"/>
          <w:b/>
          <w:bCs/>
          <w:color w:val="7F77DD"/>
          <w:sz w:val="28"/>
          <w:szCs w:val="28"/>
        </w:rPr>
        <w:t xml:space="preserve">5.3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60"/>
        <w:gridCol w:w="5000"/>
      </w:tblGrid>
      <w:tr>
        <w:trPr>
          <w:tblHeader/>
        </w:trPr>
        <w:tc>
          <w:tcPr>
            <w:tcW w:type="dxa" w:w="2000"/>
            <w:tcBorders>
              <w:top w:val="single" w:color="D0CEF5" w:sz="1"/>
              <w:left w:val="single" w:color="D0CEF5" w:sz="1"/>
              <w:bottom w:val="single" w:color="D0CEF5" w:sz="1"/>
              <w:right w:val="single" w:color="D0CEF5" w:sz="1"/>
            </w:tcBorders>
            <w:shd w:fill="7F77DD" w:val="clear"/>
            <w:tcMar>
              <w:top w:type="dxa" w:w="100"/>
              <w:left w:type="dxa" w:w="140"/>
              <w:bottom w:type="dxa" w:w="100"/>
              <w:right w:type="dxa" w:w="140"/>
            </w:tcMar>
          </w:tcPr>
          <w:p>
            <w:r>
              <w:rPr>
                <w:rFonts w:ascii="Arial" w:cs="Arial" w:eastAsia="Arial" w:hAnsi="Arial"/>
                <w:b/>
                <w:bCs/>
                <w:color w:val="FFFFFF"/>
                <w:sz w:val="20"/>
                <w:szCs w:val="20"/>
              </w:rPr>
              <w:t xml:space="preserve">Service</w:t>
            </w:r>
          </w:p>
        </w:tc>
        <w:tc>
          <w:tcPr>
            <w:tcW w:type="dxa" w:w="2360"/>
            <w:tcBorders>
              <w:top w:val="single" w:color="D0CEF5" w:sz="1"/>
              <w:left w:val="single" w:color="D0CEF5" w:sz="1"/>
              <w:bottom w:val="single" w:color="D0CEF5" w:sz="1"/>
              <w:right w:val="single" w:color="D0CEF5" w:sz="1"/>
            </w:tcBorders>
            <w:shd w:fill="7F77DD" w:val="clear"/>
            <w:tcMar>
              <w:top w:type="dxa" w:w="100"/>
              <w:left w:type="dxa" w:w="140"/>
              <w:bottom w:type="dxa" w:w="100"/>
              <w:right w:type="dxa" w:w="140"/>
            </w:tcMar>
          </w:tcPr>
          <w:p>
            <w:r>
              <w:rPr>
                <w:rFonts w:ascii="Arial" w:cs="Arial" w:eastAsia="Arial" w:hAnsi="Arial"/>
                <w:b/>
                <w:bCs/>
                <w:color w:val="FFFFFF"/>
                <w:sz w:val="20"/>
                <w:szCs w:val="20"/>
              </w:rPr>
              <w:t xml:space="preserve">AWS product</w:t>
            </w:r>
          </w:p>
        </w:tc>
        <w:tc>
          <w:tcPr>
            <w:tcW w:type="dxa" w:w="5000"/>
            <w:tcBorders>
              <w:top w:val="single" w:color="D0CEF5" w:sz="1"/>
              <w:left w:val="single" w:color="D0CEF5" w:sz="1"/>
              <w:bottom w:val="single" w:color="D0CEF5" w:sz="1"/>
              <w:right w:val="single" w:color="D0CEF5" w:sz="1"/>
            </w:tcBorders>
            <w:shd w:fill="7F77DD"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rPr>
          <w:tblHeader w:val="false"/>
        </w:trPr>
        <w:tc>
          <w:tcPr>
            <w:tcW w:type="dxa" w:w="20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API hosting</w:t>
            </w:r>
          </w:p>
        </w:tc>
        <w:tc>
          <w:tcPr>
            <w:tcW w:type="dxa" w:w="236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ECS Fargate</w:t>
            </w:r>
          </w:p>
        </w:tc>
        <w:tc>
          <w:tcPr>
            <w:tcW w:type="dxa" w:w="50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Serverless container — scales automatically, no server management</w:t>
            </w:r>
          </w:p>
        </w:tc>
      </w:tr>
      <w:tr>
        <w:trPr>
          <w:tblHeader w:val="false"/>
        </w:trPr>
        <w:tc>
          <w:tcPr>
            <w:tcW w:type="dxa" w:w="20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GPU workers</w:t>
            </w:r>
          </w:p>
        </w:tc>
        <w:tc>
          <w:tcPr>
            <w:tcW w:type="dxa" w:w="236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EC2 G4dn spot</w:t>
            </w:r>
          </w:p>
        </w:tc>
        <w:tc>
          <w:tcPr>
            <w:tcW w:type="dxa" w:w="50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NVIDIA T4 GPU for Scanpy — 70% cheaper than on-demand via spot instances</w:t>
            </w:r>
          </w:p>
        </w:tc>
      </w:tr>
      <w:tr>
        <w:trPr>
          <w:tblHeader w:val="false"/>
        </w:trPr>
        <w:tc>
          <w:tcPr>
            <w:tcW w:type="dxa" w:w="20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Database</w:t>
            </w:r>
          </w:p>
        </w:tc>
        <w:tc>
          <w:tcPr>
            <w:tcW w:type="dxa" w:w="236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RDS PostgreSQL</w:t>
            </w:r>
          </w:p>
        </w:tc>
        <w:tc>
          <w:tcPr>
            <w:tcW w:type="dxa" w:w="50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Managed, automated backups, Multi-AZ for production</w:t>
            </w:r>
          </w:p>
        </w:tc>
      </w:tr>
      <w:tr>
        <w:trPr>
          <w:tblHeader w:val="false"/>
        </w:trPr>
        <w:tc>
          <w:tcPr>
            <w:tcW w:type="dxa" w:w="20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Cache/broker</w:t>
            </w:r>
          </w:p>
        </w:tc>
        <w:tc>
          <w:tcPr>
            <w:tcW w:type="dxa" w:w="236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ElastiCache Redis</w:t>
            </w:r>
          </w:p>
        </w:tc>
        <w:tc>
          <w:tcPr>
            <w:tcW w:type="dxa" w:w="50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Celery job broker, Django cache, session storage</w:t>
            </w:r>
          </w:p>
        </w:tc>
      </w:tr>
      <w:tr>
        <w:trPr>
          <w:tblHeader w:val="false"/>
        </w:trPr>
        <w:tc>
          <w:tcPr>
            <w:tcW w:type="dxa" w:w="20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File storage</w:t>
            </w:r>
          </w:p>
        </w:tc>
        <w:tc>
          <w:tcPr>
            <w:tcW w:type="dxa" w:w="236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S3 + CloudFront</w:t>
            </w:r>
          </w:p>
        </w:tc>
        <w:tc>
          <w:tcPr>
            <w:tcW w:type="dxa" w:w="50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Files at rest, CDN for report delivery globally</w:t>
            </w:r>
          </w:p>
        </w:tc>
      </w:tr>
      <w:tr>
        <w:trPr>
          <w:tblHeader w:val="false"/>
        </w:trPr>
        <w:tc>
          <w:tcPr>
            <w:tcW w:type="dxa" w:w="20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Frontend hosting</w:t>
            </w:r>
          </w:p>
        </w:tc>
        <w:tc>
          <w:tcPr>
            <w:tcW w:type="dxa" w:w="236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S3 + CloudFront</w:t>
            </w:r>
          </w:p>
        </w:tc>
        <w:tc>
          <w:tcPr>
            <w:tcW w:type="dxa" w:w="50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Static React build served from CDN — fast globally</w:t>
            </w:r>
          </w:p>
        </w:tc>
      </w:tr>
      <w:tr>
        <w:trPr>
          <w:tblHeader w:val="false"/>
        </w:trPr>
        <w:tc>
          <w:tcPr>
            <w:tcW w:type="dxa" w:w="20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DNS + SSL</w:t>
            </w:r>
          </w:p>
        </w:tc>
        <w:tc>
          <w:tcPr>
            <w:tcW w:type="dxa" w:w="236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Route 53 + ACM</w:t>
            </w:r>
          </w:p>
        </w:tc>
        <w:tc>
          <w:tcPr>
            <w:tcW w:type="dxa" w:w="50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Managed certificates, automatic renewal</w:t>
            </w:r>
          </w:p>
        </w:tc>
      </w:tr>
    </w:tbl>
    <w:p>
      <w:r>
        <w:br w:type="page"/>
      </w:r>
    </w:p>
    <w:p>
      <w:pPr>
        <w:pStyle w:val="Heading1"/>
        <w:spacing w:after="160" w:before="360"/>
      </w:pPr>
      <w:r>
        <w:rPr>
          <w:rFonts w:ascii="Arial" w:cs="Arial" w:eastAsia="Arial" w:hAnsi="Arial"/>
          <w:b/>
          <w:bCs/>
          <w:color w:val="1A1A2E"/>
          <w:sz w:val="36"/>
          <w:szCs w:val="36"/>
        </w:rPr>
        <w:t xml:space="preserve">6. Database Schema (Key Tables)</w:t>
      </w:r>
    </w:p>
    <w:p>
      <w:pPr>
        <w:pBdr>
          <w:bottom w:val="single" w:color="7F77DD"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D0CEF5" w:sz="1"/>
              <w:left w:val="single" w:color="D0CEF5" w:sz="1"/>
              <w:bottom w:val="single" w:color="D0CEF5" w:sz="1"/>
              <w:right w:val="single" w:color="D0CEF5" w:sz="1"/>
            </w:tcBorders>
            <w:shd w:fill="7F77DD" w:val="clear"/>
            <w:tcMar>
              <w:top w:type="dxa" w:w="100"/>
              <w:left w:type="dxa" w:w="140"/>
              <w:bottom w:type="dxa" w:w="100"/>
              <w:right w:type="dxa" w:w="140"/>
            </w:tcMar>
          </w:tcPr>
          <w:p>
            <w:r>
              <w:rPr>
                <w:rFonts w:ascii="Arial" w:cs="Arial" w:eastAsia="Arial" w:hAnsi="Arial"/>
                <w:b/>
                <w:bCs/>
                <w:color w:val="FFFFFF"/>
                <w:sz w:val="20"/>
                <w:szCs w:val="20"/>
              </w:rPr>
              <w:t xml:space="preserve">Table</w:t>
            </w:r>
          </w:p>
        </w:tc>
        <w:tc>
          <w:tcPr>
            <w:tcW w:type="dxa" w:w="2000"/>
            <w:tcBorders>
              <w:top w:val="single" w:color="D0CEF5" w:sz="1"/>
              <w:left w:val="single" w:color="D0CEF5" w:sz="1"/>
              <w:bottom w:val="single" w:color="D0CEF5" w:sz="1"/>
              <w:right w:val="single" w:color="D0CEF5" w:sz="1"/>
            </w:tcBorders>
            <w:shd w:fill="7F77DD" w:val="clear"/>
            <w:tcMar>
              <w:top w:type="dxa" w:w="100"/>
              <w:left w:type="dxa" w:w="140"/>
              <w:bottom w:type="dxa" w:w="100"/>
              <w:right w:type="dxa" w:w="140"/>
            </w:tcMar>
          </w:tcPr>
          <w:p>
            <w:r>
              <w:rPr>
                <w:rFonts w:ascii="Arial" w:cs="Arial" w:eastAsia="Arial" w:hAnsi="Arial"/>
                <w:b/>
                <w:bCs/>
                <w:color w:val="FFFFFF"/>
                <w:sz w:val="20"/>
                <w:szCs w:val="20"/>
              </w:rPr>
              <w:t xml:space="preserve">Key fields</w:t>
            </w:r>
          </w:p>
        </w:tc>
        <w:tc>
          <w:tcPr>
            <w:tcW w:type="dxa" w:w="5360"/>
            <w:tcBorders>
              <w:top w:val="single" w:color="D0CEF5" w:sz="1"/>
              <w:left w:val="single" w:color="D0CEF5" w:sz="1"/>
              <w:bottom w:val="single" w:color="D0CEF5" w:sz="1"/>
              <w:right w:val="single" w:color="D0CEF5" w:sz="1"/>
            </w:tcBorders>
            <w:shd w:fill="7F77DD"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rPr>
          <w:tblHeader w:val="false"/>
        </w:trPr>
        <w:tc>
          <w:tcPr>
            <w:tcW w:type="dxa" w:w="20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organisations</w:t>
            </w:r>
          </w:p>
        </w:tc>
        <w:tc>
          <w:tcPr>
            <w:tcW w:type="dxa" w:w="20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id, name, slug, plan</w:t>
            </w:r>
          </w:p>
        </w:tc>
        <w:tc>
          <w:tcPr>
            <w:tcW w:type="dxa" w:w="536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Top-level tenant — every lab/company is one organisation. All data is scoped here.</w:t>
            </w:r>
          </w:p>
        </w:tc>
      </w:tr>
      <w:tr>
        <w:trPr>
          <w:tblHeader w:val="false"/>
        </w:trPr>
        <w:tc>
          <w:tcPr>
            <w:tcW w:type="dxa" w:w="20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users</w:t>
            </w:r>
          </w:p>
        </w:tc>
        <w:tc>
          <w:tcPr>
            <w:tcW w:type="dxa" w:w="20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id, email, role, org_id</w:t>
            </w:r>
          </w:p>
        </w:tc>
        <w:tc>
          <w:tcPr>
            <w:tcW w:type="dxa" w:w="536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Custom user extending Django AbstractUser. Roles: viewer, analyst, admin.</w:t>
            </w:r>
          </w:p>
        </w:tc>
      </w:tr>
      <w:tr>
        <w:trPr>
          <w:tblHeader w:val="false"/>
        </w:trPr>
        <w:tc>
          <w:tcPr>
            <w:tcW w:type="dxa" w:w="20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samples</w:t>
            </w:r>
          </w:p>
        </w:tc>
        <w:tc>
          <w:tcPr>
            <w:tcW w:type="dxa" w:w="20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id, name, platform, status</w:t>
            </w:r>
          </w:p>
        </w:tc>
        <w:tc>
          <w:tcPr>
            <w:tcW w:type="dxa" w:w="536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One row per tissue sample. Status tracks upload → QC → ready lifecycle.</w:t>
            </w:r>
          </w:p>
        </w:tc>
      </w:tr>
      <w:tr>
        <w:trPr>
          <w:tblHeader w:val="false"/>
        </w:trPr>
        <w:tc>
          <w:tcPr>
            <w:tcW w:type="dxa" w:w="20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sample_files</w:t>
            </w:r>
          </w:p>
        </w:tc>
        <w:tc>
          <w:tcPr>
            <w:tcW w:type="dxa" w:w="20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id, sample_id, s3_key, upload_id</w:t>
            </w:r>
          </w:p>
        </w:tc>
        <w:tc>
          <w:tcPr>
            <w:tcW w:type="dxa" w:w="536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Individual files in a sample. Tracks multipart S3 upload state per file.</w:t>
            </w:r>
          </w:p>
        </w:tc>
      </w:tr>
      <w:tr>
        <w:trPr>
          <w:tblHeader w:val="false"/>
        </w:trPr>
        <w:tc>
          <w:tcPr>
            <w:tcW w:type="dxa" w:w="20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pipelines</w:t>
            </w:r>
          </w:p>
        </w:tc>
        <w:tc>
          <w:tcPr>
            <w:tcW w:type="dxa" w:w="20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id, sample_id, status, progress</w:t>
            </w:r>
          </w:p>
        </w:tc>
        <w:tc>
          <w:tcPr>
            <w:tcW w:type="dxa" w:w="536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One row per analysis run. progress (0-100) and current_step written by worker in real time.</w:t>
            </w:r>
          </w:p>
        </w:tc>
      </w:tr>
      <w:tr>
        <w:trPr>
          <w:tblHeader w:val="false"/>
        </w:trPr>
        <w:tc>
          <w:tcPr>
            <w:tcW w:type="dxa" w:w="20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pipeline_logs</w:t>
            </w:r>
          </w:p>
        </w:tc>
        <w:tc>
          <w:tcPr>
            <w:tcW w:type="dxa" w:w="20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id, pipeline_id, level, message</w:t>
            </w:r>
          </w:p>
        </w:tc>
        <w:tc>
          <w:tcPr>
            <w:tcW w:type="dxa" w:w="536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Real stdout lines from the Celery worker. React fetches these for the terminal panel.</w:t>
            </w:r>
          </w:p>
        </w:tc>
      </w:tr>
      <w:tr>
        <w:trPr>
          <w:tblHeader w:val="false"/>
        </w:trPr>
        <w:tc>
          <w:tcPr>
            <w:tcW w:type="dxa" w:w="20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pipeline_results</w:t>
            </w:r>
          </w:p>
        </w:tc>
        <w:tc>
          <w:tcPr>
            <w:tcW w:type="dxa" w:w="20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id, pipeline_id, cluster_summary</w:t>
            </w:r>
          </w:p>
        </w:tc>
        <w:tc>
          <w:tcPr>
            <w:tcW w:type="dxa" w:w="536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Structured analysis output: cluster annotations, marker genes, SVGs, AI interpretation.</w:t>
            </w:r>
          </w:p>
        </w:tc>
      </w:tr>
    </w:tbl>
    <w:p>
      <w:r>
        <w:br w:type="page"/>
      </w:r>
    </w:p>
    <w:p>
      <w:pPr>
        <w:pStyle w:val="Heading1"/>
        <w:spacing w:after="160" w:before="360"/>
      </w:pPr>
      <w:r>
        <w:rPr>
          <w:rFonts w:ascii="Arial" w:cs="Arial" w:eastAsia="Arial" w:hAnsi="Arial"/>
          <w:b/>
          <w:bCs/>
          <w:color w:val="1A1A2E"/>
          <w:sz w:val="36"/>
          <w:szCs w:val="36"/>
        </w:rPr>
        <w:t xml:space="preserve">7. REST API Endpoints</w:t>
      </w:r>
    </w:p>
    <w:p>
      <w:pPr>
        <w:pBdr>
          <w:bottom w:val="single" w:color="7F77DD" w:sz="4" w:space="1"/>
        </w:pBdr>
        <w:spacing w:after="160" w:before="160"/>
      </w:pPr>
      <w:r>
        <w:t xml:space="preserve"/>
      </w:r>
    </w:p>
    <w:p>
      <w:pPr>
        <w:spacing w:after="120" w:before="80"/>
      </w:pPr>
      <w:r>
        <w:rPr>
          <w:rFonts w:ascii="Arial" w:cs="Arial" w:eastAsia="Arial" w:hAnsi="Arial"/>
          <w:b w:val="false"/>
          <w:bCs w:val="false"/>
          <w:i w:val="false"/>
          <w:iCs w:val="false"/>
          <w:color w:val="5A5870"/>
          <w:sz w:val="22"/>
          <w:szCs w:val="22"/>
        </w:rPr>
        <w:t xml:space="preserve">Full interactive documentation available at http://localhost:8000/api/docs/ (Swagger UI) once the backend is running. Key endpoints:</w:t>
      </w:r>
    </w:p>
    <w:p>
      <w:pPr>
        <w:spacing w:after="120" w:before="0"/>
      </w:pPr>
      <w:r>
        <w:t xml:space="preserve"/>
      </w:r>
    </w:p>
    <w:p>
      <w:pPr>
        <w:pStyle w:val="Heading2"/>
        <w:spacing w:after="120" w:before="280"/>
      </w:pPr>
      <w:r>
        <w:rPr>
          <w:rFonts w:ascii="Arial" w:cs="Arial" w:eastAsia="Arial" w:hAnsi="Arial"/>
          <w:b/>
          <w:bCs/>
          <w:color w:val="7F77DD"/>
          <w:sz w:val="28"/>
          <w:szCs w:val="28"/>
        </w:rPr>
        <w:t xml:space="preserve">7.1 Authentication</w:t>
      </w:r>
    </w:p>
    <w:p>
      <w:pPr>
        <w:pStyle w:val="ListParagraph"/>
        <w:numPr>
          <w:ilvl w:val="0"/>
          <w:numId w:val="3"/>
        </w:numPr>
        <w:spacing w:after="40" w:before="40"/>
      </w:pPr>
      <w:r>
        <w:rPr>
          <w:rFonts w:ascii="Arial" w:cs="Arial" w:eastAsia="Arial" w:hAnsi="Arial"/>
          <w:color w:val="5A5870"/>
          <w:sz w:val="22"/>
          <w:szCs w:val="22"/>
        </w:rPr>
        <w:t xml:space="preserve">POST /api/auth/login/ — get JWT access + refresh tokens</w:t>
      </w:r>
    </w:p>
    <w:p>
      <w:pPr>
        <w:pStyle w:val="ListParagraph"/>
        <w:numPr>
          <w:ilvl w:val="0"/>
          <w:numId w:val="3"/>
        </w:numPr>
        <w:spacing w:after="40" w:before="40"/>
      </w:pPr>
      <w:r>
        <w:rPr>
          <w:rFonts w:ascii="Arial" w:cs="Arial" w:eastAsia="Arial" w:hAnsi="Arial"/>
          <w:color w:val="5A5870"/>
          <w:sz w:val="22"/>
          <w:szCs w:val="22"/>
        </w:rPr>
        <w:t xml:space="preserve">POST /api/auth/refresh/ — exchange refresh token for new access token</w:t>
      </w:r>
    </w:p>
    <w:p>
      <w:pPr>
        <w:pStyle w:val="ListParagraph"/>
        <w:numPr>
          <w:ilvl w:val="0"/>
          <w:numId w:val="3"/>
        </w:numPr>
        <w:spacing w:after="40" w:before="40"/>
      </w:pPr>
      <w:r>
        <w:rPr>
          <w:rFonts w:ascii="Arial" w:cs="Arial" w:eastAsia="Arial" w:hAnsi="Arial"/>
          <w:color w:val="5A5870"/>
          <w:sz w:val="22"/>
          <w:szCs w:val="22"/>
        </w:rPr>
        <w:t xml:space="preserve">GET /api/auth/me/ — current user profile and organisation</w:t>
      </w:r>
    </w:p>
    <w:p>
      <w:pPr>
        <w:pStyle w:val="ListParagraph"/>
        <w:numPr>
          <w:ilvl w:val="0"/>
          <w:numId w:val="3"/>
        </w:numPr>
        <w:spacing w:after="40" w:before="40"/>
      </w:pPr>
      <w:r>
        <w:rPr>
          <w:rFonts w:ascii="Arial" w:cs="Arial" w:eastAsia="Arial" w:hAnsi="Arial"/>
          <w:color w:val="5A5870"/>
          <w:sz w:val="22"/>
          <w:szCs w:val="22"/>
        </w:rPr>
        <w:t xml:space="preserve">POST /api/auth/register/ — create user and organisation</w:t>
      </w:r>
    </w:p>
    <w:p>
      <w:pPr>
        <w:spacing w:after="120" w:before="0"/>
      </w:pPr>
      <w:r>
        <w:t xml:space="preserve"/>
      </w:r>
    </w:p>
    <w:p>
      <w:pPr>
        <w:pStyle w:val="Heading2"/>
        <w:spacing w:after="120" w:before="280"/>
      </w:pPr>
      <w:r>
        <w:rPr>
          <w:rFonts w:ascii="Arial" w:cs="Arial" w:eastAsia="Arial" w:hAnsi="Arial"/>
          <w:b/>
          <w:bCs/>
          <w:color w:val="7F77DD"/>
          <w:sz w:val="28"/>
          <w:szCs w:val="28"/>
        </w:rPr>
        <w:t xml:space="preserve">7.2 Samples</w:t>
      </w:r>
    </w:p>
    <w:p>
      <w:pPr>
        <w:pStyle w:val="ListParagraph"/>
        <w:numPr>
          <w:ilvl w:val="0"/>
          <w:numId w:val="3"/>
        </w:numPr>
        <w:spacing w:after="40" w:before="40"/>
      </w:pPr>
      <w:r>
        <w:rPr>
          <w:rFonts w:ascii="Arial" w:cs="Arial" w:eastAsia="Arial" w:hAnsi="Arial"/>
          <w:color w:val="5A5870"/>
          <w:sz w:val="22"/>
          <w:szCs w:val="22"/>
        </w:rPr>
        <w:t xml:space="preserve">GET /api/samples/ — list all samples for this organisation</w:t>
      </w:r>
    </w:p>
    <w:p>
      <w:pPr>
        <w:pStyle w:val="ListParagraph"/>
        <w:numPr>
          <w:ilvl w:val="0"/>
          <w:numId w:val="3"/>
        </w:numPr>
        <w:spacing w:after="40" w:before="40"/>
      </w:pPr>
      <w:r>
        <w:rPr>
          <w:rFonts w:ascii="Arial" w:cs="Arial" w:eastAsia="Arial" w:hAnsi="Arial"/>
          <w:color w:val="5A5870"/>
          <w:sz w:val="22"/>
          <w:szCs w:val="22"/>
        </w:rPr>
        <w:t xml:space="preserve">POST /api/samples/ — create sample record (before uploading files)</w:t>
      </w:r>
    </w:p>
    <w:p>
      <w:pPr>
        <w:pStyle w:val="ListParagraph"/>
        <w:numPr>
          <w:ilvl w:val="0"/>
          <w:numId w:val="3"/>
        </w:numPr>
        <w:spacing w:after="40" w:before="40"/>
      </w:pPr>
      <w:r>
        <w:rPr>
          <w:rFonts w:ascii="Arial" w:cs="Arial" w:eastAsia="Arial" w:hAnsi="Arial"/>
          <w:color w:val="5A5870"/>
          <w:sz w:val="22"/>
          <w:szCs w:val="22"/>
        </w:rPr>
        <w:t xml:space="preserve">GET /api/samples/{id}/ — sample detail with QC metrics</w:t>
      </w:r>
    </w:p>
    <w:p>
      <w:pPr>
        <w:pStyle w:val="ListParagraph"/>
        <w:numPr>
          <w:ilvl w:val="0"/>
          <w:numId w:val="3"/>
        </w:numPr>
        <w:spacing w:after="40" w:before="40"/>
      </w:pPr>
      <w:r>
        <w:rPr>
          <w:rFonts w:ascii="Arial" w:cs="Arial" w:eastAsia="Arial" w:hAnsi="Arial"/>
          <w:color w:val="5A5870"/>
          <w:sz w:val="22"/>
          <w:szCs w:val="22"/>
        </w:rPr>
        <w:t xml:space="preserve">POST /api/samples/{id}/initiate_upload/ — start chunked S3 upload, returns upload_id</w:t>
      </w:r>
    </w:p>
    <w:p>
      <w:pPr>
        <w:pStyle w:val="ListParagraph"/>
        <w:numPr>
          <w:ilvl w:val="0"/>
          <w:numId w:val="3"/>
        </w:numPr>
        <w:spacing w:after="40" w:before="40"/>
      </w:pPr>
      <w:r>
        <w:rPr>
          <w:rFonts w:ascii="Arial" w:cs="Arial" w:eastAsia="Arial" w:hAnsi="Arial"/>
          <w:color w:val="5A5870"/>
          <w:sz w:val="22"/>
          <w:szCs w:val="22"/>
        </w:rPr>
        <w:t xml:space="preserve">POST /api/samples/{id}/presigned_part/ — get pre-signed URL for one 50 MB chunk</w:t>
      </w:r>
    </w:p>
    <w:p>
      <w:pPr>
        <w:pStyle w:val="ListParagraph"/>
        <w:numPr>
          <w:ilvl w:val="0"/>
          <w:numId w:val="3"/>
        </w:numPr>
        <w:spacing w:after="40" w:before="40"/>
      </w:pPr>
      <w:r>
        <w:rPr>
          <w:rFonts w:ascii="Arial" w:cs="Arial" w:eastAsia="Arial" w:hAnsi="Arial"/>
          <w:color w:val="5A5870"/>
          <w:sz w:val="22"/>
          <w:szCs w:val="22"/>
        </w:rPr>
        <w:t xml:space="preserve">POST /api/samples/{id}/complete_upload/ — finalise upload, trigger h5ad conversion</w:t>
      </w:r>
    </w:p>
    <w:p>
      <w:pPr>
        <w:spacing w:after="120" w:before="0"/>
      </w:pPr>
      <w:r>
        <w:t xml:space="preserve"/>
      </w:r>
    </w:p>
    <w:p>
      <w:pPr>
        <w:pStyle w:val="Heading2"/>
        <w:spacing w:after="120" w:before="280"/>
      </w:pPr>
      <w:r>
        <w:rPr>
          <w:rFonts w:ascii="Arial" w:cs="Arial" w:eastAsia="Arial" w:hAnsi="Arial"/>
          <w:b/>
          <w:bCs/>
          <w:color w:val="7F77DD"/>
          <w:sz w:val="28"/>
          <w:szCs w:val="28"/>
        </w:rPr>
        <w:t xml:space="preserve">7.3 Pipelines</w:t>
      </w:r>
    </w:p>
    <w:p>
      <w:pPr>
        <w:pStyle w:val="ListParagraph"/>
        <w:numPr>
          <w:ilvl w:val="0"/>
          <w:numId w:val="3"/>
        </w:numPr>
        <w:spacing w:after="40" w:before="40"/>
      </w:pPr>
      <w:r>
        <w:rPr>
          <w:rFonts w:ascii="Arial" w:cs="Arial" w:eastAsia="Arial" w:hAnsi="Arial"/>
          <w:color w:val="5A5870"/>
          <w:sz w:val="22"/>
          <w:szCs w:val="22"/>
        </w:rPr>
        <w:t xml:space="preserve">GET /api/pipelines/ — list all pipelines for this organisation</w:t>
      </w:r>
    </w:p>
    <w:p>
      <w:pPr>
        <w:pStyle w:val="ListParagraph"/>
        <w:numPr>
          <w:ilvl w:val="0"/>
          <w:numId w:val="3"/>
        </w:numPr>
        <w:spacing w:after="40" w:before="40"/>
      </w:pPr>
      <w:r>
        <w:rPr>
          <w:rFonts w:ascii="Arial" w:cs="Arial" w:eastAsia="Arial" w:hAnsi="Arial"/>
          <w:color w:val="5A5870"/>
          <w:sz w:val="22"/>
          <w:szCs w:val="22"/>
        </w:rPr>
        <w:t xml:space="preserve">POST /api/pipelines/ — create and immediately queue a new pipeline</w:t>
      </w:r>
    </w:p>
    <w:p>
      <w:pPr>
        <w:pStyle w:val="ListParagraph"/>
        <w:numPr>
          <w:ilvl w:val="0"/>
          <w:numId w:val="3"/>
        </w:numPr>
        <w:spacing w:after="40" w:before="40"/>
      </w:pPr>
      <w:r>
        <w:rPr>
          <w:rFonts w:ascii="Arial" w:cs="Arial" w:eastAsia="Arial" w:hAnsi="Arial"/>
          <w:color w:val="5A5870"/>
          <w:sz w:val="22"/>
          <w:szCs w:val="22"/>
        </w:rPr>
        <w:t xml:space="preserve">GET /api/pipelines/{id}/ — full status (React polls this every 3s for live updates)</w:t>
      </w:r>
    </w:p>
    <w:p>
      <w:pPr>
        <w:pStyle w:val="ListParagraph"/>
        <w:numPr>
          <w:ilvl w:val="0"/>
          <w:numId w:val="3"/>
        </w:numPr>
        <w:spacing w:after="40" w:before="40"/>
      </w:pPr>
      <w:r>
        <w:rPr>
          <w:rFonts w:ascii="Arial" w:cs="Arial" w:eastAsia="Arial" w:hAnsi="Arial"/>
          <w:color w:val="5A5870"/>
          <w:sz w:val="22"/>
          <w:szCs w:val="22"/>
        </w:rPr>
        <w:t xml:space="preserve">GET /api/pipelines/{id}/logs/ — terminal log lines from the Celery worker</w:t>
      </w:r>
    </w:p>
    <w:p>
      <w:pPr>
        <w:pStyle w:val="ListParagraph"/>
        <w:numPr>
          <w:ilvl w:val="0"/>
          <w:numId w:val="3"/>
        </w:numPr>
        <w:spacing w:after="40" w:before="40"/>
      </w:pPr>
      <w:r>
        <w:rPr>
          <w:rFonts w:ascii="Arial" w:cs="Arial" w:eastAsia="Arial" w:hAnsi="Arial"/>
          <w:color w:val="5A5870"/>
          <w:sz w:val="22"/>
          <w:szCs w:val="22"/>
        </w:rPr>
        <w:t xml:space="preserve">POST /api/pipelines/{id}/cancel/ — cancel a running or queued pipeline</w:t>
      </w:r>
    </w:p>
    <w:p>
      <w:pPr>
        <w:pStyle w:val="ListParagraph"/>
        <w:numPr>
          <w:ilvl w:val="0"/>
          <w:numId w:val="3"/>
        </w:numPr>
        <w:spacing w:after="40" w:before="40"/>
      </w:pPr>
      <w:r>
        <w:rPr>
          <w:rFonts w:ascii="Arial" w:cs="Arial" w:eastAsia="Arial" w:hAnsi="Arial"/>
          <w:color w:val="5A5870"/>
          <w:sz w:val="22"/>
          <w:szCs w:val="22"/>
        </w:rPr>
        <w:t xml:space="preserve">POST /api/pipelines/{id}/retry/ — retry a failed or cancelled pipeline</w:t>
      </w:r>
    </w:p>
    <w:p>
      <w:pPr>
        <w:pStyle w:val="ListParagraph"/>
        <w:numPr>
          <w:ilvl w:val="0"/>
          <w:numId w:val="3"/>
        </w:numPr>
        <w:spacing w:after="40" w:before="40"/>
      </w:pPr>
      <w:r>
        <w:rPr>
          <w:rFonts w:ascii="Arial" w:cs="Arial" w:eastAsia="Arial" w:hAnsi="Arial"/>
          <w:color w:val="5A5870"/>
          <w:sz w:val="22"/>
          <w:szCs w:val="22"/>
        </w:rPr>
        <w:t xml:space="preserve">GET /api/pipelines/stats/ — summary counts for the dashboard header</w:t>
      </w:r>
    </w:p>
    <w:p>
      <w:r>
        <w:br w:type="page"/>
      </w:r>
    </w:p>
    <w:p>
      <w:pPr>
        <w:pStyle w:val="Heading1"/>
        <w:spacing w:after="160" w:before="360"/>
      </w:pPr>
      <w:r>
        <w:rPr>
          <w:rFonts w:ascii="Arial" w:cs="Arial" w:eastAsia="Arial" w:hAnsi="Arial"/>
          <w:b/>
          <w:bCs/>
          <w:color w:val="1A1A2E"/>
          <w:sz w:val="36"/>
          <w:szCs w:val="36"/>
        </w:rPr>
        <w:t xml:space="preserve">8. Go-To-Market Strategy</w:t>
      </w:r>
    </w:p>
    <w:p>
      <w:pPr>
        <w:pBdr>
          <w:bottom w:val="single" w:color="7F77DD" w:sz="4" w:space="1"/>
        </w:pBdr>
        <w:spacing w:after="160" w:before="160"/>
      </w:pPr>
      <w:r>
        <w:t xml:space="preserve"/>
      </w:r>
    </w:p>
    <w:p>
      <w:pPr>
        <w:pStyle w:val="Heading2"/>
        <w:spacing w:after="120" w:before="280"/>
      </w:pPr>
      <w:r>
        <w:rPr>
          <w:rFonts w:ascii="Arial" w:cs="Arial" w:eastAsia="Arial" w:hAnsi="Arial"/>
          <w:b/>
          <w:bCs/>
          <w:color w:val="7F77DD"/>
          <w:sz w:val="28"/>
          <w:szCs w:val="28"/>
        </w:rPr>
        <w:t xml:space="preserve">8.1 Target Customers</w:t>
      </w:r>
    </w:p>
    <w:p>
      <w:pPr>
        <w:spacing w:after="120" w:before="80"/>
      </w:pPr>
      <w:r>
        <w:rPr>
          <w:rFonts w:ascii="Arial" w:cs="Arial" w:eastAsia="Arial" w:hAnsi="Arial"/>
          <w:b w:val="false"/>
          <w:bCs w:val="false"/>
          <w:i w:val="false"/>
          <w:iCs w:val="false"/>
          <w:color w:val="5A5870"/>
          <w:sz w:val="22"/>
          <w:szCs w:val="22"/>
        </w:rPr>
        <w:t xml:space="preserve">SpatialVision targets six buyer segments with different budgets, decision processes, and sales cycles: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160"/>
        <w:gridCol w:w="3200"/>
      </w:tblGrid>
      <w:tr>
        <w:trPr>
          <w:tblHeader/>
        </w:trPr>
        <w:tc>
          <w:tcPr>
            <w:tcW w:type="dxa" w:w="2200"/>
            <w:tcBorders>
              <w:top w:val="single" w:color="D0CEF5" w:sz="1"/>
              <w:left w:val="single" w:color="D0CEF5" w:sz="1"/>
              <w:bottom w:val="single" w:color="D0CEF5" w:sz="1"/>
              <w:right w:val="single" w:color="D0CEF5" w:sz="1"/>
            </w:tcBorders>
            <w:shd w:fill="7F77DD" w:val="clear"/>
            <w:tcMar>
              <w:top w:type="dxa" w:w="100"/>
              <w:left w:type="dxa" w:w="140"/>
              <w:bottom w:type="dxa" w:w="100"/>
              <w:right w:type="dxa" w:w="140"/>
            </w:tcMar>
          </w:tcPr>
          <w:p>
            <w:r>
              <w:rPr>
                <w:rFonts w:ascii="Arial" w:cs="Arial" w:eastAsia="Arial" w:hAnsi="Arial"/>
                <w:b/>
                <w:bCs/>
                <w:color w:val="FFFFFF"/>
                <w:sz w:val="20"/>
                <w:szCs w:val="20"/>
              </w:rPr>
              <w:t xml:space="preserve">Segment</w:t>
            </w:r>
          </w:p>
        </w:tc>
        <w:tc>
          <w:tcPr>
            <w:tcW w:type="dxa" w:w="1800"/>
            <w:tcBorders>
              <w:top w:val="single" w:color="D0CEF5" w:sz="1"/>
              <w:left w:val="single" w:color="D0CEF5" w:sz="1"/>
              <w:bottom w:val="single" w:color="D0CEF5" w:sz="1"/>
              <w:right w:val="single" w:color="D0CEF5" w:sz="1"/>
            </w:tcBorders>
            <w:shd w:fill="7F77DD" w:val="clear"/>
            <w:tcMar>
              <w:top w:type="dxa" w:w="100"/>
              <w:left w:type="dxa" w:w="140"/>
              <w:bottom w:type="dxa" w:w="100"/>
              <w:right w:type="dxa" w:w="140"/>
            </w:tcMar>
          </w:tcPr>
          <w:p>
            <w:r>
              <w:rPr>
                <w:rFonts w:ascii="Arial" w:cs="Arial" w:eastAsia="Arial" w:hAnsi="Arial"/>
                <w:b/>
                <w:bCs/>
                <w:color w:val="FFFFFF"/>
                <w:sz w:val="20"/>
                <w:szCs w:val="20"/>
              </w:rPr>
              <w:t xml:space="preserve">Price</w:t>
            </w:r>
          </w:p>
        </w:tc>
        <w:tc>
          <w:tcPr>
            <w:tcW w:type="dxa" w:w="2160"/>
            <w:tcBorders>
              <w:top w:val="single" w:color="D0CEF5" w:sz="1"/>
              <w:left w:val="single" w:color="D0CEF5" w:sz="1"/>
              <w:bottom w:val="single" w:color="D0CEF5" w:sz="1"/>
              <w:right w:val="single" w:color="D0CEF5" w:sz="1"/>
            </w:tcBorders>
            <w:shd w:fill="7F77DD" w:val="clear"/>
            <w:tcMar>
              <w:top w:type="dxa" w:w="100"/>
              <w:left w:type="dxa" w:w="140"/>
              <w:bottom w:type="dxa" w:w="100"/>
              <w:right w:type="dxa" w:w="140"/>
            </w:tcMar>
          </w:tcPr>
          <w:p>
            <w:r>
              <w:rPr>
                <w:rFonts w:ascii="Arial" w:cs="Arial" w:eastAsia="Arial" w:hAnsi="Arial"/>
                <w:b/>
                <w:bCs/>
                <w:color w:val="FFFFFF"/>
                <w:sz w:val="20"/>
                <w:szCs w:val="20"/>
              </w:rPr>
              <w:t xml:space="preserve">Decision maker</w:t>
            </w:r>
          </w:p>
        </w:tc>
        <w:tc>
          <w:tcPr>
            <w:tcW w:type="dxa" w:w="3200"/>
            <w:tcBorders>
              <w:top w:val="single" w:color="D0CEF5" w:sz="1"/>
              <w:left w:val="single" w:color="D0CEF5" w:sz="1"/>
              <w:bottom w:val="single" w:color="D0CEF5" w:sz="1"/>
              <w:right w:val="single" w:color="D0CEF5" w:sz="1"/>
            </w:tcBorders>
            <w:shd w:fill="7F77DD" w:val="clear"/>
            <w:tcMar>
              <w:top w:type="dxa" w:w="100"/>
              <w:left w:type="dxa" w:w="140"/>
              <w:bottom w:type="dxa" w:w="100"/>
              <w:right w:type="dxa" w:w="140"/>
            </w:tcMar>
          </w:tcPr>
          <w:p>
            <w:r>
              <w:rPr>
                <w:rFonts w:ascii="Arial" w:cs="Arial" w:eastAsia="Arial" w:hAnsi="Arial"/>
                <w:b/>
                <w:bCs/>
                <w:color w:val="FFFFFF"/>
                <w:sz w:val="20"/>
                <w:szCs w:val="20"/>
              </w:rPr>
              <w:t xml:space="preserve">Sales cycle</w:t>
            </w:r>
          </w:p>
        </w:tc>
      </w:tr>
      <w:tr>
        <w:trPr>
          <w:tblHeader w:val="false"/>
        </w:trPr>
        <w:tc>
          <w:tcPr>
            <w:tcW w:type="dxa" w:w="22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Academic PI lab</w:t>
            </w:r>
          </w:p>
        </w:tc>
        <w:tc>
          <w:tcPr>
            <w:tcW w:type="dxa" w:w="18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$299/mo</w:t>
            </w:r>
          </w:p>
        </w:tc>
        <w:tc>
          <w:tcPr>
            <w:tcW w:type="dxa" w:w="216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Professor / PI</w:t>
            </w:r>
          </w:p>
        </w:tc>
        <w:tc>
          <w:tcPr>
            <w:tcW w:type="dxa" w:w="32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1-2 weeks — pays from grant budget</w:t>
            </w:r>
          </w:p>
        </w:tc>
      </w:tr>
      <w:tr>
        <w:trPr>
          <w:tblHeader w:val="false"/>
        </w:trPr>
        <w:tc>
          <w:tcPr>
            <w:tcW w:type="dxa" w:w="22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Genomics core facility</w:t>
            </w:r>
          </w:p>
        </w:tc>
        <w:tc>
          <w:tcPr>
            <w:tcW w:type="dxa" w:w="18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$899-3,500/mo</w:t>
            </w:r>
          </w:p>
        </w:tc>
        <w:tc>
          <w:tcPr>
            <w:tcW w:type="dxa" w:w="216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Core director</w:t>
            </w:r>
          </w:p>
        </w:tc>
        <w:tc>
          <w:tcPr>
            <w:tcW w:type="dxa" w:w="32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4-8 weeks — serves 20-50 labs at once</w:t>
            </w:r>
          </w:p>
        </w:tc>
      </w:tr>
      <w:tr>
        <w:trPr>
          <w:tblHeader w:val="false"/>
        </w:trPr>
        <w:tc>
          <w:tcPr>
            <w:tcW w:type="dxa" w:w="22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Pharma translational team</w:t>
            </w:r>
          </w:p>
        </w:tc>
        <w:tc>
          <w:tcPr>
            <w:tcW w:type="dxa" w:w="18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$3,500-20k/mo</w:t>
            </w:r>
          </w:p>
        </w:tc>
        <w:tc>
          <w:tcPr>
            <w:tcW w:type="dxa" w:w="216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Translational scientist + procurement</w:t>
            </w:r>
          </w:p>
        </w:tc>
        <w:tc>
          <w:tcPr>
            <w:tcW w:type="dxa" w:w="32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3-6 months — trial operational budget</w:t>
            </w:r>
          </w:p>
        </w:tc>
      </w:tr>
      <w:tr>
        <w:trPr>
          <w:tblHeader w:val="false"/>
        </w:trPr>
        <w:tc>
          <w:tcPr>
            <w:tcW w:type="dxa" w:w="22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CRO</w:t>
            </w:r>
          </w:p>
        </w:tc>
        <w:tc>
          <w:tcPr>
            <w:tcW w:type="dxa" w:w="18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$5k-30k/mo</w:t>
            </w:r>
          </w:p>
        </w:tc>
        <w:tc>
          <w:tcPr>
            <w:tcW w:type="dxa" w:w="216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Head of bioinformatics + CSO</w:t>
            </w:r>
          </w:p>
        </w:tc>
        <w:tc>
          <w:tcPr>
            <w:tcW w:type="dxa" w:w="32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2-4 months — client-billable cost</w:t>
            </w:r>
          </w:p>
        </w:tc>
      </w:tr>
      <w:tr>
        <w:trPr>
          <w:tblHeader w:val="false"/>
        </w:trPr>
        <w:tc>
          <w:tcPr>
            <w:tcW w:type="dxa" w:w="22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Hospital clinical lab</w:t>
            </w:r>
          </w:p>
        </w:tc>
        <w:tc>
          <w:tcPr>
            <w:tcW w:type="dxa" w:w="18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$50-200k/yr</w:t>
            </w:r>
          </w:p>
        </w:tc>
        <w:tc>
          <w:tcPr>
            <w:tcW w:type="dxa" w:w="216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Lab director + IT + legal</w:t>
            </w:r>
          </w:p>
        </w:tc>
        <w:tc>
          <w:tcPr>
            <w:tcW w:type="dxa" w:w="32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12-18 months — capital budget</w:t>
            </w:r>
          </w:p>
        </w:tc>
      </w:tr>
      <w:tr>
        <w:trPr>
          <w:tblHeader w:val="false"/>
        </w:trPr>
        <w:tc>
          <w:tcPr>
            <w:tcW w:type="dxa" w:w="22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Biotech startup</w:t>
            </w:r>
          </w:p>
        </w:tc>
        <w:tc>
          <w:tcPr>
            <w:tcW w:type="dxa" w:w="18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$899-5k/mo</w:t>
            </w:r>
          </w:p>
        </w:tc>
        <w:tc>
          <w:tcPr>
            <w:tcW w:type="dxa" w:w="216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CSO / Head of Research</w:t>
            </w:r>
          </w:p>
        </w:tc>
        <w:tc>
          <w:tcPr>
            <w:tcW w:type="dxa" w:w="32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2-4 weeks — avoids hiring bioinformatician</w:t>
            </w:r>
          </w:p>
        </w:tc>
      </w:tr>
    </w:tbl>
    <w:p>
      <w:pPr>
        <w:spacing w:after="120" w:before="0"/>
      </w:pPr>
      <w:r>
        <w:t xml:space="preserve"/>
      </w:r>
    </w:p>
    <w:p>
      <w:pPr>
        <w:pStyle w:val="Heading2"/>
        <w:spacing w:after="120" w:before="280"/>
      </w:pPr>
      <w:r>
        <w:rPr>
          <w:rFonts w:ascii="Arial" w:cs="Arial" w:eastAsia="Arial" w:hAnsi="Arial"/>
          <w:b/>
          <w:bCs/>
          <w:color w:val="7F77DD"/>
          <w:sz w:val="28"/>
          <w:szCs w:val="28"/>
        </w:rPr>
        <w:t xml:space="preserve">8.2 Marketing Approach</w:t>
      </w:r>
    </w:p>
    <w:p>
      <w:pPr>
        <w:spacing w:after="120" w:before="80"/>
      </w:pPr>
      <w:r>
        <w:rPr>
          <w:rFonts w:ascii="Arial" w:cs="Arial" w:eastAsia="Arial" w:hAnsi="Arial"/>
          <w:b w:val="false"/>
          <w:bCs w:val="false"/>
          <w:i w:val="false"/>
          <w:iCs w:val="false"/>
          <w:color w:val="5A5870"/>
          <w:sz w:val="22"/>
          <w:szCs w:val="22"/>
        </w:rPr>
        <w:t xml:space="preserve">Scientists do not buy from ads. The entire marketing strategy is trust-based, peer-driven, and low-cost:</w:t>
      </w:r>
    </w:p>
    <w:p>
      <w:pPr>
        <w:spacing w:after="120" w:before="0"/>
      </w:pPr>
      <w:r>
        <w:t xml:space="preserve"/>
      </w:r>
    </w:p>
    <w:p>
      <w:pPr>
        <w:pStyle w:val="Heading3"/>
        <w:spacing w:after="80" w:before="200"/>
      </w:pPr>
      <w:r>
        <w:rPr>
          <w:rFonts w:ascii="Arial" w:cs="Arial" w:eastAsia="Arial" w:hAnsi="Arial"/>
          <w:b/>
          <w:bCs/>
          <w:color w:val="1A1A2E"/>
          <w:sz w:val="24"/>
          <w:szCs w:val="24"/>
        </w:rPr>
        <w:t xml:space="preserve">Phase 1 — Build credibility (months 0-3, zero ad spend)</w:t>
      </w:r>
    </w:p>
    <w:p>
      <w:pPr>
        <w:pStyle w:val="ListParagraph"/>
        <w:numPr>
          <w:ilvl w:val="0"/>
          <w:numId w:val="3"/>
        </w:numPr>
        <w:spacing w:after="40" w:before="40"/>
      </w:pPr>
      <w:r>
        <w:rPr>
          <w:rFonts w:ascii="Arial" w:cs="Arial" w:eastAsia="Arial" w:hAnsi="Arial"/>
          <w:color w:val="5A5870"/>
          <w:sz w:val="22"/>
          <w:szCs w:val="22"/>
        </w:rPr>
        <w:t xml:space="preserve">Cold email 50 PIs who have published spatial transcriptomics papers — offer 6 months free for feedback and citation</w:t>
      </w:r>
    </w:p>
    <w:p>
      <w:pPr>
        <w:pStyle w:val="ListParagraph"/>
        <w:numPr>
          <w:ilvl w:val="0"/>
          <w:numId w:val="3"/>
        </w:numPr>
        <w:spacing w:after="40" w:before="40"/>
      </w:pPr>
      <w:r>
        <w:rPr>
          <w:rFonts w:ascii="Arial" w:cs="Arial" w:eastAsia="Arial" w:hAnsi="Arial"/>
          <w:color w:val="5A5870"/>
          <w:sz w:val="22"/>
          <w:szCs w:val="22"/>
        </w:rPr>
        <w:t xml:space="preserve">Post Twitter/X threads showing real tissue map results — before vs after</w:t>
      </w:r>
    </w:p>
    <w:p>
      <w:pPr>
        <w:pStyle w:val="ListParagraph"/>
        <w:numPr>
          <w:ilvl w:val="0"/>
          <w:numId w:val="3"/>
        </w:numPr>
        <w:spacing w:after="40" w:before="40"/>
      </w:pPr>
      <w:r>
        <w:rPr>
          <w:rFonts w:ascii="Arial" w:cs="Arial" w:eastAsia="Arial" w:hAnsi="Arial"/>
          <w:color w:val="5A5870"/>
          <w:sz w:val="22"/>
          <w:szCs w:val="22"/>
        </w:rPr>
        <w:t xml:space="preserve">Answer questions on Biostars, SEQanswers, 10x Community forums</w:t>
      </w:r>
    </w:p>
    <w:p>
      <w:pPr>
        <w:pStyle w:val="ListParagraph"/>
        <w:numPr>
          <w:ilvl w:val="0"/>
          <w:numId w:val="3"/>
        </w:numPr>
        <w:spacing w:after="40" w:before="40"/>
      </w:pPr>
      <w:r>
        <w:rPr>
          <w:rFonts w:ascii="Arial" w:cs="Arial" w:eastAsia="Arial" w:hAnsi="Arial"/>
          <w:color w:val="5A5870"/>
          <w:sz w:val="22"/>
          <w:szCs w:val="22"/>
        </w:rPr>
        <w:t xml:space="preserve">Open-source a Python library for multi-platform h5ad conversion</w:t>
      </w:r>
    </w:p>
    <w:p>
      <w:pPr>
        <w:spacing w:after="120" w:before="0"/>
      </w:pPr>
      <w:r>
        <w:t xml:space="preserve"/>
      </w:r>
    </w:p>
    <w:p>
      <w:pPr>
        <w:pStyle w:val="Heading3"/>
        <w:spacing w:after="80" w:before="200"/>
      </w:pPr>
      <w:r>
        <w:rPr>
          <w:rFonts w:ascii="Arial" w:cs="Arial" w:eastAsia="Arial" w:hAnsi="Arial"/>
          <w:b/>
          <w:bCs/>
          <w:color w:val="1A1A2E"/>
          <w:sz w:val="24"/>
          <w:szCs w:val="24"/>
        </w:rPr>
        <w:t xml:space="preserve">Phase 2 — Convert to revenue (months 3-9)</w:t>
      </w:r>
    </w:p>
    <w:p>
      <w:pPr>
        <w:pStyle w:val="ListParagraph"/>
        <w:numPr>
          <w:ilvl w:val="0"/>
          <w:numId w:val="3"/>
        </w:numPr>
        <w:spacing w:after="40" w:before="40"/>
      </w:pPr>
      <w:r>
        <w:rPr>
          <w:rFonts w:ascii="Arial" w:cs="Arial" w:eastAsia="Arial" w:hAnsi="Arial"/>
          <w:color w:val="5A5870"/>
          <w:sz w:val="22"/>
          <w:szCs w:val="22"/>
        </w:rPr>
        <w:t xml:space="preserve">Conference demos at AGBT, ASHG, AACR — live demos with real data, not slides</w:t>
      </w:r>
    </w:p>
    <w:p>
      <w:pPr>
        <w:pStyle w:val="ListParagraph"/>
        <w:numPr>
          <w:ilvl w:val="0"/>
          <w:numId w:val="3"/>
        </w:numPr>
        <w:spacing w:after="40" w:before="40"/>
      </w:pPr>
      <w:r>
        <w:rPr>
          <w:rFonts w:ascii="Arial" w:cs="Arial" w:eastAsia="Arial" w:hAnsi="Arial"/>
          <w:color w:val="5A5870"/>
          <w:sz w:val="22"/>
          <w:szCs w:val="22"/>
        </w:rPr>
        <w:t xml:space="preserve">YouTube tutorials targeting "spatial transcriptomics analysis tutorial" search terms</w:t>
      </w:r>
    </w:p>
    <w:p>
      <w:pPr>
        <w:pStyle w:val="ListParagraph"/>
        <w:numPr>
          <w:ilvl w:val="0"/>
          <w:numId w:val="3"/>
        </w:numPr>
        <w:spacing w:after="40" w:before="40"/>
      </w:pPr>
      <w:r>
        <w:rPr>
          <w:rFonts w:ascii="Arial" w:cs="Arial" w:eastAsia="Arial" w:hAnsi="Arial"/>
          <w:color w:val="5A5870"/>
          <w:sz w:val="22"/>
          <w:szCs w:val="22"/>
        </w:rPr>
        <w:t xml:space="preserve">Partner programme pitch to 10x Genomics and Vizgen — recommended analysis partner to instrument customers</w:t>
      </w:r>
    </w:p>
    <w:p>
      <w:pPr>
        <w:pStyle w:val="ListParagraph"/>
        <w:numPr>
          <w:ilvl w:val="0"/>
          <w:numId w:val="3"/>
        </w:numPr>
        <w:spacing w:after="40" w:before="40"/>
      </w:pPr>
      <w:r>
        <w:rPr>
          <w:rFonts w:ascii="Arial" w:cs="Arial" w:eastAsia="Arial" w:hAnsi="Arial"/>
          <w:color w:val="5A5870"/>
          <w:sz w:val="22"/>
          <w:szCs w:val="22"/>
        </w:rPr>
        <w:t xml:space="preserve">Warm introductions from academic users to their pharma collaborators</w:t>
      </w:r>
    </w:p>
    <w:p>
      <w:pPr>
        <w:spacing w:after="120" w:before="0"/>
      </w:pPr>
      <w:r>
        <w:t xml:space="preserve"/>
      </w:r>
    </w:p>
    <w:p>
      <w:pPr>
        <w:pStyle w:val="Heading3"/>
        <w:spacing w:after="80" w:before="200"/>
      </w:pPr>
      <w:r>
        <w:rPr>
          <w:rFonts w:ascii="Arial" w:cs="Arial" w:eastAsia="Arial" w:hAnsi="Arial"/>
          <w:b/>
          <w:bCs/>
          <w:color w:val="1A1A2E"/>
          <w:sz w:val="24"/>
          <w:szCs w:val="24"/>
        </w:rPr>
        <w:t xml:space="preserve">Phase 3 — Enterprise scale (months 9-18)</w:t>
      </w:r>
    </w:p>
    <w:p>
      <w:pPr>
        <w:pStyle w:val="ListParagraph"/>
        <w:numPr>
          <w:ilvl w:val="0"/>
          <w:numId w:val="3"/>
        </w:numPr>
        <w:spacing w:after="40" w:before="40"/>
      </w:pPr>
      <w:r>
        <w:rPr>
          <w:rFonts w:ascii="Arial" w:cs="Arial" w:eastAsia="Arial" w:hAnsi="Arial"/>
          <w:color w:val="5A5870"/>
          <w:sz w:val="22"/>
          <w:szCs w:val="22"/>
        </w:rPr>
        <w:t xml:space="preserve">Publish bioRxiv benchmark paper comparing SpatialVision output to manual Scanpy pipelines</w:t>
      </w:r>
    </w:p>
    <w:p>
      <w:pPr>
        <w:pStyle w:val="ListParagraph"/>
        <w:numPr>
          <w:ilvl w:val="0"/>
          <w:numId w:val="3"/>
        </w:numPr>
        <w:spacing w:after="40" w:before="40"/>
      </w:pPr>
      <w:r>
        <w:rPr>
          <w:rFonts w:ascii="Arial" w:cs="Arial" w:eastAsia="Arial" w:hAnsi="Arial"/>
          <w:color w:val="5A5870"/>
          <w:sz w:val="22"/>
          <w:szCs w:val="22"/>
        </w:rPr>
        <w:t xml:space="preserve">Apply for NIH SBIR Phase I grant ($300k non-dilutive) for reproducibility research</w:t>
      </w:r>
    </w:p>
    <w:p>
      <w:pPr>
        <w:pStyle w:val="ListParagraph"/>
        <w:numPr>
          <w:ilvl w:val="0"/>
          <w:numId w:val="3"/>
        </w:numPr>
        <w:spacing w:after="40" w:before="40"/>
      </w:pPr>
      <w:r>
        <w:rPr>
          <w:rFonts w:ascii="Arial" w:cs="Arial" w:eastAsia="Arial" w:hAnsi="Arial"/>
          <w:color w:val="5A5870"/>
          <w:sz w:val="22"/>
          <w:szCs w:val="22"/>
        </w:rPr>
        <w:t xml:space="preserve">Dedicated enterprise outbound to pharma translational science teams</w:t>
      </w:r>
    </w:p>
    <w:p>
      <w:pPr>
        <w:pStyle w:val="ListParagraph"/>
        <w:numPr>
          <w:ilvl w:val="0"/>
          <w:numId w:val="3"/>
        </w:numPr>
        <w:spacing w:after="40" w:before="40"/>
      </w:pPr>
      <w:r>
        <w:rPr>
          <w:rFonts w:ascii="Arial" w:cs="Arial" w:eastAsia="Arial" w:hAnsi="Arial"/>
          <w:color w:val="5A5870"/>
          <w:sz w:val="22"/>
          <w:szCs w:val="22"/>
        </w:rPr>
        <w:t xml:space="preserve">CRO partnership discussions — SpatialVision as their standard analysis platform</w:t>
      </w:r>
    </w:p>
    <w:p>
      <w:r>
        <w:br w:type="page"/>
      </w:r>
    </w:p>
    <w:p>
      <w:pPr>
        <w:pStyle w:val="Heading1"/>
        <w:spacing w:after="160" w:before="360"/>
      </w:pPr>
      <w:r>
        <w:rPr>
          <w:rFonts w:ascii="Arial" w:cs="Arial" w:eastAsia="Arial" w:hAnsi="Arial"/>
          <w:b/>
          <w:bCs/>
          <w:color w:val="1A1A2E"/>
          <w:sz w:val="36"/>
          <w:szCs w:val="36"/>
        </w:rPr>
        <w:t xml:space="preserve">9. Competitive Landscape</w:t>
      </w:r>
    </w:p>
    <w:p>
      <w:pPr>
        <w:pBdr>
          <w:bottom w:val="single" w:color="7F77DD" w:sz="4" w:space="1"/>
        </w:pBdr>
        <w:spacing w:after="160" w:before="160"/>
      </w:pPr>
      <w:r>
        <w:t xml:space="preserve"/>
      </w:r>
    </w:p>
    <w:p>
      <w:pPr>
        <w:spacing w:after="120" w:before="80"/>
      </w:pPr>
      <w:r>
        <w:rPr>
          <w:rFonts w:ascii="Arial" w:cs="Arial" w:eastAsia="Arial" w:hAnsi="Arial"/>
          <w:b w:val="false"/>
          <w:bCs w:val="false"/>
          <w:i w:val="false"/>
          <w:iCs w:val="false"/>
          <w:color w:val="5A5870"/>
          <w:sz w:val="22"/>
          <w:szCs w:val="22"/>
        </w:rPr>
        <w:t xml:space="preserve">The field has existing partial solutions — but no product combines all six capabilities that SpatialVision offers: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60"/>
        <w:gridCol w:w="1260"/>
        <w:gridCol w:w="1260"/>
        <w:gridCol w:w="1260"/>
        <w:gridCol w:w="1260"/>
        <w:gridCol w:w="1260"/>
      </w:tblGrid>
      <w:tr>
        <w:trPr>
          <w:tblHeader/>
        </w:trPr>
        <w:tc>
          <w:tcPr>
            <w:tcW w:type="dxa" w:w="1800"/>
            <w:tcBorders>
              <w:top w:val="single" w:color="D0CEF5" w:sz="1"/>
              <w:left w:val="single" w:color="D0CEF5" w:sz="1"/>
              <w:bottom w:val="single" w:color="D0CEF5" w:sz="1"/>
              <w:right w:val="single" w:color="D0CEF5" w:sz="1"/>
            </w:tcBorders>
            <w:shd w:fill="7F77DD" w:val="clear"/>
            <w:tcMar>
              <w:top w:type="dxa" w:w="100"/>
              <w:left w:type="dxa" w:w="140"/>
              <w:bottom w:type="dxa" w:w="100"/>
              <w:right w:type="dxa" w:w="140"/>
            </w:tcMar>
          </w:tcPr>
          <w:p>
            <w:r>
              <w:rPr>
                <w:rFonts w:ascii="Arial" w:cs="Arial" w:eastAsia="Arial" w:hAnsi="Arial"/>
                <w:b/>
                <w:bCs/>
                <w:color w:val="FFFFFF"/>
                <w:sz w:val="20"/>
                <w:szCs w:val="20"/>
              </w:rPr>
              <w:t xml:space="preserve">Product</w:t>
            </w:r>
          </w:p>
        </w:tc>
        <w:tc>
          <w:tcPr>
            <w:tcW w:type="dxa" w:w="1260"/>
            <w:tcBorders>
              <w:top w:val="single" w:color="D0CEF5" w:sz="1"/>
              <w:left w:val="single" w:color="D0CEF5" w:sz="1"/>
              <w:bottom w:val="single" w:color="D0CEF5" w:sz="1"/>
              <w:right w:val="single" w:color="D0CEF5" w:sz="1"/>
            </w:tcBorders>
            <w:shd w:fill="7F77DD" w:val="clear"/>
            <w:tcMar>
              <w:top w:type="dxa" w:w="100"/>
              <w:left w:type="dxa" w:w="140"/>
              <w:bottom w:type="dxa" w:w="100"/>
              <w:right w:type="dxa" w:w="140"/>
            </w:tcMar>
          </w:tcPr>
          <w:p>
            <w:r>
              <w:rPr>
                <w:rFonts w:ascii="Arial" w:cs="Arial" w:eastAsia="Arial" w:hAnsi="Arial"/>
                <w:b/>
                <w:bCs/>
                <w:color w:val="FFFFFF"/>
                <w:sz w:val="20"/>
                <w:szCs w:val="20"/>
              </w:rPr>
              <w:t xml:space="preserve">Multi-platform</w:t>
            </w:r>
          </w:p>
        </w:tc>
        <w:tc>
          <w:tcPr>
            <w:tcW w:type="dxa" w:w="1260"/>
            <w:tcBorders>
              <w:top w:val="single" w:color="D0CEF5" w:sz="1"/>
              <w:left w:val="single" w:color="D0CEF5" w:sz="1"/>
              <w:bottom w:val="single" w:color="D0CEF5" w:sz="1"/>
              <w:right w:val="single" w:color="D0CEF5" w:sz="1"/>
            </w:tcBorders>
            <w:shd w:fill="7F77DD" w:val="clear"/>
            <w:tcMar>
              <w:top w:type="dxa" w:w="100"/>
              <w:left w:type="dxa" w:w="140"/>
              <w:bottom w:type="dxa" w:w="100"/>
              <w:right w:type="dxa" w:w="140"/>
            </w:tcMar>
          </w:tcPr>
          <w:p>
            <w:r>
              <w:rPr>
                <w:rFonts w:ascii="Arial" w:cs="Arial" w:eastAsia="Arial" w:hAnsi="Arial"/>
                <w:b/>
                <w:bCs/>
                <w:color w:val="FFFFFF"/>
                <w:sz w:val="20"/>
                <w:szCs w:val="20"/>
              </w:rPr>
              <w:t xml:space="preserve">No-code UI</w:t>
            </w:r>
          </w:p>
        </w:tc>
        <w:tc>
          <w:tcPr>
            <w:tcW w:type="dxa" w:w="1260"/>
            <w:tcBorders>
              <w:top w:val="single" w:color="D0CEF5" w:sz="1"/>
              <w:left w:val="single" w:color="D0CEF5" w:sz="1"/>
              <w:bottom w:val="single" w:color="D0CEF5" w:sz="1"/>
              <w:right w:val="single" w:color="D0CEF5" w:sz="1"/>
            </w:tcBorders>
            <w:shd w:fill="7F77DD" w:val="clear"/>
            <w:tcMar>
              <w:top w:type="dxa" w:w="100"/>
              <w:left w:type="dxa" w:w="140"/>
              <w:bottom w:type="dxa" w:w="100"/>
              <w:right w:type="dxa" w:w="140"/>
            </w:tcMar>
          </w:tcPr>
          <w:p>
            <w:r>
              <w:rPr>
                <w:rFonts w:ascii="Arial" w:cs="Arial" w:eastAsia="Arial" w:hAnsi="Arial"/>
                <w:b/>
                <w:bCs/>
                <w:color w:val="FFFFFF"/>
                <w:sz w:val="20"/>
                <w:szCs w:val="20"/>
              </w:rPr>
              <w:t xml:space="preserve">AI interpret.</w:t>
            </w:r>
          </w:p>
        </w:tc>
        <w:tc>
          <w:tcPr>
            <w:tcW w:type="dxa" w:w="1260"/>
            <w:tcBorders>
              <w:top w:val="single" w:color="D0CEF5" w:sz="1"/>
              <w:left w:val="single" w:color="D0CEF5" w:sz="1"/>
              <w:bottom w:val="single" w:color="D0CEF5" w:sz="1"/>
              <w:right w:val="single" w:color="D0CEF5" w:sz="1"/>
            </w:tcBorders>
            <w:shd w:fill="7F77DD" w:val="clear"/>
            <w:tcMar>
              <w:top w:type="dxa" w:w="100"/>
              <w:left w:type="dxa" w:w="140"/>
              <w:bottom w:type="dxa" w:w="100"/>
              <w:right w:type="dxa" w:w="140"/>
            </w:tcMar>
          </w:tcPr>
          <w:p>
            <w:r>
              <w:rPr>
                <w:rFonts w:ascii="Arial" w:cs="Arial" w:eastAsia="Arial" w:hAnsi="Arial"/>
                <w:b/>
                <w:bCs/>
                <w:color w:val="FFFFFF"/>
                <w:sz w:val="20"/>
                <w:szCs w:val="20"/>
              </w:rPr>
              <w:t xml:space="preserve">Team collab</w:t>
            </w:r>
          </w:p>
        </w:tc>
        <w:tc>
          <w:tcPr>
            <w:tcW w:type="dxa" w:w="1260"/>
            <w:tcBorders>
              <w:top w:val="single" w:color="D0CEF5" w:sz="1"/>
              <w:left w:val="single" w:color="D0CEF5" w:sz="1"/>
              <w:bottom w:val="single" w:color="D0CEF5" w:sz="1"/>
              <w:right w:val="single" w:color="D0CEF5" w:sz="1"/>
            </w:tcBorders>
            <w:shd w:fill="7F77DD" w:val="clear"/>
            <w:tcMar>
              <w:top w:type="dxa" w:w="100"/>
              <w:left w:type="dxa" w:w="140"/>
              <w:bottom w:type="dxa" w:w="100"/>
              <w:right w:type="dxa" w:w="140"/>
            </w:tcMar>
          </w:tcPr>
          <w:p>
            <w:r>
              <w:rPr>
                <w:rFonts w:ascii="Arial" w:cs="Arial" w:eastAsia="Arial" w:hAnsi="Arial"/>
                <w:b/>
                <w:bCs/>
                <w:color w:val="FFFFFF"/>
                <w:sz w:val="20"/>
                <w:szCs w:val="20"/>
              </w:rPr>
              <w:t xml:space="preserve">Reports</w:t>
            </w:r>
          </w:p>
        </w:tc>
        <w:tc>
          <w:tcPr>
            <w:tcW w:type="dxa" w:w="1260"/>
            <w:tcBorders>
              <w:top w:val="single" w:color="D0CEF5" w:sz="1"/>
              <w:left w:val="single" w:color="D0CEF5" w:sz="1"/>
              <w:bottom w:val="single" w:color="D0CEF5" w:sz="1"/>
              <w:right w:val="single" w:color="D0CEF5" w:sz="1"/>
            </w:tcBorders>
            <w:shd w:fill="7F77DD" w:val="clear"/>
            <w:tcMar>
              <w:top w:type="dxa" w:w="100"/>
              <w:left w:type="dxa" w:w="140"/>
              <w:bottom w:type="dxa" w:w="100"/>
              <w:right w:type="dxa" w:w="140"/>
            </w:tcMar>
          </w:tcPr>
          <w:p>
            <w:r>
              <w:rPr>
                <w:rFonts w:ascii="Arial" w:cs="Arial" w:eastAsia="Arial" w:hAnsi="Arial"/>
                <w:b/>
                <w:bCs/>
                <w:color w:val="FFFFFF"/>
                <w:sz w:val="20"/>
                <w:szCs w:val="20"/>
              </w:rPr>
              <w:t xml:space="preserve">HIPAA</w:t>
            </w:r>
          </w:p>
        </w:tc>
      </w:tr>
      <w:tr>
        <w:trPr>
          <w:tblHeader w:val="false"/>
        </w:trPr>
        <w:tc>
          <w:tcPr>
            <w:tcW w:type="dxa" w:w="18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10x Loupe Browser</w:t>
            </w:r>
          </w:p>
        </w:tc>
        <w:tc>
          <w:tcPr>
            <w:tcW w:type="dxa" w:w="126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D85A30"/>
                <w:sz w:val="22"/>
                <w:szCs w:val="22"/>
              </w:rPr>
              <w:t xml:space="preserve">10x only</w:t>
            </w:r>
          </w:p>
        </w:tc>
        <w:tc>
          <w:tcPr>
            <w:tcW w:type="dxa" w:w="126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D85A30"/>
                <w:sz w:val="22"/>
                <w:szCs w:val="22"/>
              </w:rPr>
              <w:t xml:space="preserve">Basic</w:t>
            </w:r>
          </w:p>
        </w:tc>
        <w:tc>
          <w:tcPr>
            <w:tcW w:type="dxa" w:w="126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D85A30"/>
                <w:sz w:val="22"/>
                <w:szCs w:val="22"/>
              </w:rPr>
              <w:t xml:space="preserve">None</w:t>
            </w:r>
          </w:p>
        </w:tc>
        <w:tc>
          <w:tcPr>
            <w:tcW w:type="dxa" w:w="126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D85A30"/>
                <w:sz w:val="22"/>
                <w:szCs w:val="22"/>
              </w:rPr>
              <w:t xml:space="preserve">Single user</w:t>
            </w:r>
          </w:p>
        </w:tc>
        <w:tc>
          <w:tcPr>
            <w:tcW w:type="dxa" w:w="126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D85A30"/>
                <w:sz w:val="22"/>
                <w:szCs w:val="22"/>
              </w:rPr>
              <w:t xml:space="preserve">None</w:t>
            </w:r>
          </w:p>
        </w:tc>
        <w:tc>
          <w:tcPr>
            <w:tcW w:type="dxa" w:w="126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D85A30"/>
                <w:sz w:val="22"/>
                <w:szCs w:val="22"/>
              </w:rPr>
              <w:t xml:space="preserve">No</w:t>
            </w:r>
          </w:p>
        </w:tc>
      </w:tr>
      <w:tr>
        <w:trPr>
          <w:tblHeader w:val="false"/>
        </w:trPr>
        <w:tc>
          <w:tcPr>
            <w:tcW w:type="dxa" w:w="18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Seurat / Scanpy</w:t>
            </w:r>
          </w:p>
        </w:tc>
        <w:tc>
          <w:tcPr>
            <w:tcW w:type="dxa" w:w="126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1D9E75"/>
                <w:sz w:val="22"/>
                <w:szCs w:val="22"/>
              </w:rPr>
              <w:t xml:space="preserve">All</w:t>
            </w:r>
          </w:p>
        </w:tc>
        <w:tc>
          <w:tcPr>
            <w:tcW w:type="dxa" w:w="126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D85A30"/>
                <w:sz w:val="22"/>
                <w:szCs w:val="22"/>
              </w:rPr>
              <w:t xml:space="preserve">Code only</w:t>
            </w:r>
          </w:p>
        </w:tc>
        <w:tc>
          <w:tcPr>
            <w:tcW w:type="dxa" w:w="126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D85A30"/>
                <w:sz w:val="22"/>
                <w:szCs w:val="22"/>
              </w:rPr>
              <w:t xml:space="preserve">None</w:t>
            </w:r>
          </w:p>
        </w:tc>
        <w:tc>
          <w:tcPr>
            <w:tcW w:type="dxa" w:w="126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D85A30"/>
                <w:sz w:val="22"/>
                <w:szCs w:val="22"/>
              </w:rPr>
              <w:t xml:space="preserve">None</w:t>
            </w:r>
          </w:p>
        </w:tc>
        <w:tc>
          <w:tcPr>
            <w:tcW w:type="dxa" w:w="126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D85A30"/>
                <w:sz w:val="22"/>
                <w:szCs w:val="22"/>
              </w:rPr>
              <w:t xml:space="preserve">None</w:t>
            </w:r>
          </w:p>
        </w:tc>
        <w:tc>
          <w:tcPr>
            <w:tcW w:type="dxa" w:w="126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D85A30"/>
                <w:sz w:val="22"/>
                <w:szCs w:val="22"/>
              </w:rPr>
              <w:t xml:space="preserve">No</w:t>
            </w:r>
          </w:p>
        </w:tc>
      </w:tr>
      <w:tr>
        <w:trPr>
          <w:tblHeader w:val="false"/>
        </w:trPr>
        <w:tc>
          <w:tcPr>
            <w:tcW w:type="dxa" w:w="18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NanoString AtoMx</w:t>
            </w:r>
          </w:p>
        </w:tc>
        <w:tc>
          <w:tcPr>
            <w:tcW w:type="dxa" w:w="126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D85A30"/>
                <w:sz w:val="22"/>
                <w:szCs w:val="22"/>
              </w:rPr>
              <w:t xml:space="preserve">CosMx only</w:t>
            </w:r>
          </w:p>
        </w:tc>
        <w:tc>
          <w:tcPr>
            <w:tcW w:type="dxa" w:w="126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1D9E75"/>
                <w:sz w:val="22"/>
                <w:szCs w:val="22"/>
              </w:rPr>
              <w:t xml:space="preserve">Good UI</w:t>
            </w:r>
          </w:p>
        </w:tc>
        <w:tc>
          <w:tcPr>
            <w:tcW w:type="dxa" w:w="126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D85A30"/>
                <w:sz w:val="22"/>
                <w:szCs w:val="22"/>
              </w:rPr>
              <w:t xml:space="preserve">None</w:t>
            </w:r>
          </w:p>
        </w:tc>
        <w:tc>
          <w:tcPr>
            <w:tcW w:type="dxa" w:w="126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D85A30"/>
                <w:sz w:val="22"/>
                <w:szCs w:val="22"/>
              </w:rPr>
              <w:t xml:space="preserve">Limited</w:t>
            </w:r>
          </w:p>
        </w:tc>
        <w:tc>
          <w:tcPr>
            <w:tcW w:type="dxa" w:w="126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D85A30"/>
                <w:sz w:val="22"/>
                <w:szCs w:val="22"/>
              </w:rPr>
              <w:t xml:space="preserve">None</w:t>
            </w:r>
          </w:p>
        </w:tc>
        <w:tc>
          <w:tcPr>
            <w:tcW w:type="dxa" w:w="126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D85A30"/>
                <w:sz w:val="22"/>
                <w:szCs w:val="22"/>
              </w:rPr>
              <w:t xml:space="preserve">Partial</w:t>
            </w:r>
          </w:p>
        </w:tc>
      </w:tr>
      <w:tr>
        <w:trPr>
          <w:tblHeader w:val="false"/>
        </w:trPr>
        <w:tc>
          <w:tcPr>
            <w:tcW w:type="dxa" w:w="18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Vizgen Portal</w:t>
            </w:r>
          </w:p>
        </w:tc>
        <w:tc>
          <w:tcPr>
            <w:tcW w:type="dxa" w:w="126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D85A30"/>
                <w:sz w:val="22"/>
                <w:szCs w:val="22"/>
              </w:rPr>
              <w:t xml:space="preserve">MERSCOPE only</w:t>
            </w:r>
          </w:p>
        </w:tc>
        <w:tc>
          <w:tcPr>
            <w:tcW w:type="dxa" w:w="126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1D9E75"/>
                <w:sz w:val="22"/>
                <w:szCs w:val="22"/>
              </w:rPr>
              <w:t xml:space="preserve">Good UI</w:t>
            </w:r>
          </w:p>
        </w:tc>
        <w:tc>
          <w:tcPr>
            <w:tcW w:type="dxa" w:w="126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D85A30"/>
                <w:sz w:val="22"/>
                <w:szCs w:val="22"/>
              </w:rPr>
              <w:t xml:space="preserve">None</w:t>
            </w:r>
          </w:p>
        </w:tc>
        <w:tc>
          <w:tcPr>
            <w:tcW w:type="dxa" w:w="126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D85A30"/>
                <w:sz w:val="22"/>
                <w:szCs w:val="22"/>
              </w:rPr>
              <w:t xml:space="preserve">None</w:t>
            </w:r>
          </w:p>
        </w:tc>
        <w:tc>
          <w:tcPr>
            <w:tcW w:type="dxa" w:w="126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D85A30"/>
                <w:sz w:val="22"/>
                <w:szCs w:val="22"/>
              </w:rPr>
              <w:t xml:space="preserve">None</w:t>
            </w:r>
          </w:p>
        </w:tc>
        <w:tc>
          <w:tcPr>
            <w:tcW w:type="dxa" w:w="126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D85A30"/>
                <w:sz w:val="22"/>
                <w:szCs w:val="22"/>
              </w:rPr>
              <w:t xml:space="preserve">No</w:t>
            </w:r>
          </w:p>
        </w:tc>
      </w:tr>
      <w:tr>
        <w:trPr>
          <w:tblHeader w:val="false"/>
        </w:trPr>
        <w:tc>
          <w:tcPr>
            <w:tcW w:type="dxa" w:w="18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SpatialVision</w:t>
            </w:r>
          </w:p>
        </w:tc>
        <w:tc>
          <w:tcPr>
            <w:tcW w:type="dxa" w:w="126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bCs/>
                <w:color w:val="1D9E75"/>
                <w:sz w:val="22"/>
                <w:szCs w:val="22"/>
              </w:rPr>
              <w:t xml:space="preserve">All 5</w:t>
            </w:r>
          </w:p>
        </w:tc>
        <w:tc>
          <w:tcPr>
            <w:tcW w:type="dxa" w:w="126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bCs/>
                <w:color w:val="1D9E75"/>
                <w:sz w:val="22"/>
                <w:szCs w:val="22"/>
              </w:rPr>
              <w:t xml:space="preserve">Full UI</w:t>
            </w:r>
          </w:p>
        </w:tc>
        <w:tc>
          <w:tcPr>
            <w:tcW w:type="dxa" w:w="126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bCs/>
                <w:color w:val="1D9E75"/>
                <w:sz w:val="22"/>
                <w:szCs w:val="22"/>
              </w:rPr>
              <w:t xml:space="preserve">Claude API</w:t>
            </w:r>
          </w:p>
        </w:tc>
        <w:tc>
          <w:tcPr>
            <w:tcW w:type="dxa" w:w="126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bCs/>
                <w:color w:val="1D9E75"/>
                <w:sz w:val="22"/>
                <w:szCs w:val="22"/>
              </w:rPr>
              <w:t xml:space="preserve">Full RBAC</w:t>
            </w:r>
          </w:p>
        </w:tc>
        <w:tc>
          <w:tcPr>
            <w:tcW w:type="dxa" w:w="126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bCs/>
                <w:color w:val="1D9E75"/>
                <w:sz w:val="22"/>
                <w:szCs w:val="22"/>
              </w:rPr>
              <w:t xml:space="preserve">PDF + HTML</w:t>
            </w:r>
          </w:p>
        </w:tc>
        <w:tc>
          <w:tcPr>
            <w:tcW w:type="dxa" w:w="126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bCs/>
                <w:color w:val="1D9E75"/>
                <w:sz w:val="22"/>
                <w:szCs w:val="22"/>
              </w:rPr>
              <w:t xml:space="preserve">Full BAA</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D85A30" w:sz="1"/>
              <w:left w:val="single" w:color="D85A30" w:sz="1"/>
              <w:bottom w:val="single" w:color="D85A30" w:sz="1"/>
              <w:right w:val="single" w:color="D85A30" w:sz="1"/>
            </w:tcBorders>
            <w:shd w:fill="D85A30" w:val="clear"/>
            <w:tcMar>
              <w:top w:type="dxa" w:w="100"/>
              <w:left w:type="dxa" w:w="140"/>
              <w:bottom w:type="dxa" w:w="100"/>
              <w:right w:type="dxa" w:w="140"/>
            </w:tcMar>
            <w:vAlign w:val="center"/>
          </w:tcPr>
          <w:p>
            <w:r>
              <w:rPr>
                <w:rFonts w:ascii="Arial" w:cs="Arial" w:eastAsia="Arial" w:hAnsi="Arial"/>
                <w:b/>
                <w:bCs/>
                <w:color w:val="FFFFFF"/>
                <w:sz w:val="20"/>
                <w:szCs w:val="20"/>
              </w:rPr>
              <w:t xml:space="preserve">RISK</w:t>
            </w:r>
          </w:p>
        </w:tc>
        <w:tc>
          <w:tcPr>
            <w:tcW w:type="dxa" w:w="8860"/>
            <w:tcBorders>
              <w:top w:val="single" w:color="D85A30" w:sz="1"/>
              <w:left w:val="single" w:color="D85A30" w:sz="1"/>
              <w:bottom w:val="single" w:color="D85A30" w:sz="1"/>
              <w:right w:val="single" w:color="D85A30" w:sz="1"/>
            </w:tcBorders>
            <w:shd w:fill="FFF8F5" w:val="clear"/>
            <w:tcMar>
              <w:top w:type="dxa" w:w="100"/>
              <w:left w:type="dxa" w:w="140"/>
              <w:bottom w:type="dxa" w:w="100"/>
              <w:right w:type="dxa" w:w="140"/>
            </w:tcMar>
          </w:tcPr>
          <w:p>
            <w:r>
              <w:rPr>
                <w:rFonts w:ascii="Arial" w:cs="Arial" w:eastAsia="Arial" w:hAnsi="Arial"/>
                <w:color w:val="1A1A2E"/>
                <w:sz w:val="22"/>
                <w:szCs w:val="22"/>
              </w:rPr>
              <w:t xml:space="preserve">The primary competitive risk is 10x Genomics building a competing universal platform. They have 6,000 customers and deep instrument integration. The defence is speed, data moat from trained AI models, and customer lock-in through the audit trail and report formats.</w:t>
            </w:r>
          </w:p>
        </w:tc>
      </w:tr>
    </w:tbl>
    <w:p>
      <w:r>
        <w:br w:type="page"/>
      </w:r>
    </w:p>
    <w:p>
      <w:pPr>
        <w:pStyle w:val="Heading1"/>
        <w:spacing w:after="160" w:before="360"/>
      </w:pPr>
      <w:r>
        <w:rPr>
          <w:rFonts w:ascii="Arial" w:cs="Arial" w:eastAsia="Arial" w:hAnsi="Arial"/>
          <w:b/>
          <w:bCs/>
          <w:color w:val="1A1A2E"/>
          <w:sz w:val="36"/>
          <w:szCs w:val="36"/>
        </w:rPr>
        <w:t xml:space="preserve">10. Financial Projections</w:t>
      </w:r>
    </w:p>
    <w:p>
      <w:pPr>
        <w:pBdr>
          <w:bottom w:val="single" w:color="7F77DD" w:sz="4" w:space="1"/>
        </w:pBdr>
        <w:spacing w:after="160" w:before="160"/>
      </w:pPr>
      <w:r>
        <w:t xml:space="preserve"/>
      </w:r>
    </w:p>
    <w:p>
      <w:pPr>
        <w:pStyle w:val="Heading2"/>
        <w:spacing w:after="120" w:before="280"/>
      </w:pPr>
      <w:r>
        <w:rPr>
          <w:rFonts w:ascii="Arial" w:cs="Arial" w:eastAsia="Arial" w:hAnsi="Arial"/>
          <w:b/>
          <w:bCs/>
          <w:color w:val="7F77DD"/>
          <w:sz w:val="28"/>
          <w:szCs w:val="28"/>
        </w:rPr>
        <w:t xml:space="preserve">10.1 Unit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D0CEF5" w:sz="1"/>
              <w:left w:val="single" w:color="D0CEF5" w:sz="1"/>
              <w:bottom w:val="single" w:color="D0CEF5" w:sz="1"/>
              <w:right w:val="single" w:color="D0CEF5" w:sz="1"/>
            </w:tcBorders>
            <w:shd w:fill="7F77DD"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2320"/>
            <w:tcBorders>
              <w:top w:val="single" w:color="D0CEF5" w:sz="1"/>
              <w:left w:val="single" w:color="D0CEF5" w:sz="1"/>
              <w:bottom w:val="single" w:color="D0CEF5" w:sz="1"/>
              <w:right w:val="single" w:color="D0CEF5" w:sz="1"/>
            </w:tcBorders>
            <w:shd w:fill="7F77DD" w:val="clear"/>
            <w:tcMar>
              <w:top w:type="dxa" w:w="100"/>
              <w:left w:type="dxa" w:w="140"/>
              <w:bottom w:type="dxa" w:w="100"/>
              <w:right w:type="dxa" w:w="140"/>
            </w:tcMar>
          </w:tcPr>
          <w:p>
            <w:r>
              <w:rPr>
                <w:rFonts w:ascii="Arial" w:cs="Arial" w:eastAsia="Arial" w:hAnsi="Arial"/>
                <w:b/>
                <w:bCs/>
                <w:color w:val="FFFFFF"/>
                <w:sz w:val="20"/>
                <w:szCs w:val="20"/>
              </w:rPr>
              <w:t xml:space="preserve">Academic ($299)</w:t>
            </w:r>
          </w:p>
        </w:tc>
        <w:tc>
          <w:tcPr>
            <w:tcW w:type="dxa" w:w="2320"/>
            <w:tcBorders>
              <w:top w:val="single" w:color="D0CEF5" w:sz="1"/>
              <w:left w:val="single" w:color="D0CEF5" w:sz="1"/>
              <w:bottom w:val="single" w:color="D0CEF5" w:sz="1"/>
              <w:right w:val="single" w:color="D0CEF5" w:sz="1"/>
            </w:tcBorders>
            <w:shd w:fill="7F77DD" w:val="clear"/>
            <w:tcMar>
              <w:top w:type="dxa" w:w="100"/>
              <w:left w:type="dxa" w:w="140"/>
              <w:bottom w:type="dxa" w:w="100"/>
              <w:right w:type="dxa" w:w="140"/>
            </w:tcMar>
          </w:tcPr>
          <w:p>
            <w:r>
              <w:rPr>
                <w:rFonts w:ascii="Arial" w:cs="Arial" w:eastAsia="Arial" w:hAnsi="Arial"/>
                <w:b/>
                <w:bCs/>
                <w:color w:val="FFFFFF"/>
                <w:sz w:val="20"/>
                <w:szCs w:val="20"/>
              </w:rPr>
              <w:t xml:space="preserve">Pro ($899)</w:t>
            </w:r>
          </w:p>
        </w:tc>
        <w:tc>
          <w:tcPr>
            <w:tcW w:type="dxa" w:w="2320"/>
            <w:tcBorders>
              <w:top w:val="single" w:color="D0CEF5" w:sz="1"/>
              <w:left w:val="single" w:color="D0CEF5" w:sz="1"/>
              <w:bottom w:val="single" w:color="D0CEF5" w:sz="1"/>
              <w:right w:val="single" w:color="D0CEF5" w:sz="1"/>
            </w:tcBorders>
            <w:shd w:fill="7F77DD" w:val="clear"/>
            <w:tcMar>
              <w:top w:type="dxa" w:w="100"/>
              <w:left w:type="dxa" w:w="140"/>
              <w:bottom w:type="dxa" w:w="100"/>
              <w:right w:type="dxa" w:w="140"/>
            </w:tcMar>
          </w:tcPr>
          <w:p>
            <w:r>
              <w:rPr>
                <w:rFonts w:ascii="Arial" w:cs="Arial" w:eastAsia="Arial" w:hAnsi="Arial"/>
                <w:b/>
                <w:bCs/>
                <w:color w:val="FFFFFF"/>
                <w:sz w:val="20"/>
                <w:szCs w:val="20"/>
              </w:rPr>
              <w:t xml:space="preserve">Enterprise ($3,500)</w:t>
            </w:r>
          </w:p>
        </w:tc>
      </w:tr>
      <w:tr>
        <w:trPr>
          <w:tblHeader w:val="false"/>
        </w:trPr>
        <w:tc>
          <w:tcPr>
            <w:tcW w:type="dxa" w:w="24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Monthly revenue</w:t>
            </w:r>
          </w:p>
        </w:tc>
        <w:tc>
          <w:tcPr>
            <w:tcW w:type="dxa" w:w="232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$299</w:t>
            </w:r>
          </w:p>
        </w:tc>
        <w:tc>
          <w:tcPr>
            <w:tcW w:type="dxa" w:w="232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$899</w:t>
            </w:r>
          </w:p>
        </w:tc>
        <w:tc>
          <w:tcPr>
            <w:tcW w:type="dxa" w:w="232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$3,500</w:t>
            </w:r>
          </w:p>
        </w:tc>
      </w:tr>
      <w:tr>
        <w:trPr>
          <w:tblHeader w:val="false"/>
        </w:trPr>
        <w:tc>
          <w:tcPr>
            <w:tcW w:type="dxa" w:w="24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Infrastructure cost</w:t>
            </w:r>
          </w:p>
        </w:tc>
        <w:tc>
          <w:tcPr>
            <w:tcW w:type="dxa" w:w="232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~$25</w:t>
            </w:r>
          </w:p>
        </w:tc>
        <w:tc>
          <w:tcPr>
            <w:tcW w:type="dxa" w:w="232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~$55</w:t>
            </w:r>
          </w:p>
        </w:tc>
        <w:tc>
          <w:tcPr>
            <w:tcW w:type="dxa" w:w="232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~$206</w:t>
            </w:r>
          </w:p>
        </w:tc>
      </w:tr>
      <w:tr>
        <w:trPr>
          <w:tblHeader w:val="false"/>
        </w:trPr>
        <w:tc>
          <w:tcPr>
            <w:tcW w:type="dxa" w:w="24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Gross profit</w:t>
            </w:r>
          </w:p>
        </w:tc>
        <w:tc>
          <w:tcPr>
            <w:tcW w:type="dxa" w:w="232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bCs/>
                <w:color w:val="1D9E75"/>
                <w:sz w:val="22"/>
                <w:szCs w:val="22"/>
              </w:rPr>
              <w:t xml:space="preserve">$274 (91%)</w:t>
            </w:r>
          </w:p>
        </w:tc>
        <w:tc>
          <w:tcPr>
            <w:tcW w:type="dxa" w:w="232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bCs/>
                <w:color w:val="1D9E75"/>
                <w:sz w:val="22"/>
                <w:szCs w:val="22"/>
              </w:rPr>
              <w:t xml:space="preserve">$844 (94%)</w:t>
            </w:r>
          </w:p>
        </w:tc>
        <w:tc>
          <w:tcPr>
            <w:tcW w:type="dxa" w:w="232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bCs/>
                <w:color w:val="1D9E75"/>
                <w:sz w:val="22"/>
                <w:szCs w:val="22"/>
              </w:rPr>
              <w:t xml:space="preserve">$3,294 (94%)</w:t>
            </w:r>
          </w:p>
        </w:tc>
      </w:tr>
    </w:tbl>
    <w:p>
      <w:pPr>
        <w:spacing w:after="120" w:before="0"/>
      </w:pPr>
      <w:r>
        <w:t xml:space="preserve"/>
      </w:r>
    </w:p>
    <w:p>
      <w:pPr>
        <w:pStyle w:val="Heading2"/>
        <w:spacing w:after="120" w:before="280"/>
      </w:pPr>
      <w:r>
        <w:rPr>
          <w:rFonts w:ascii="Arial" w:cs="Arial" w:eastAsia="Arial" w:hAnsi="Arial"/>
          <w:b/>
          <w:bCs/>
          <w:color w:val="7F77DD"/>
          <w:sz w:val="28"/>
          <w:szCs w:val="28"/>
        </w:rPr>
        <w:t xml:space="preserve">10.2 Revenue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760"/>
        <w:gridCol w:w="2760"/>
        <w:gridCol w:w="2400"/>
      </w:tblGrid>
      <w:tr>
        <w:trPr>
          <w:tblHeader/>
        </w:trPr>
        <w:tc>
          <w:tcPr>
            <w:tcW w:type="dxa" w:w="1440"/>
            <w:tcBorders>
              <w:top w:val="single" w:color="D0CEF5" w:sz="1"/>
              <w:left w:val="single" w:color="D0CEF5" w:sz="1"/>
              <w:bottom w:val="single" w:color="D0CEF5" w:sz="1"/>
              <w:right w:val="single" w:color="D0CEF5" w:sz="1"/>
            </w:tcBorders>
            <w:shd w:fill="7F77DD" w:val="clear"/>
            <w:tcMar>
              <w:top w:type="dxa" w:w="100"/>
              <w:left w:type="dxa" w:w="140"/>
              <w:bottom w:type="dxa" w:w="100"/>
              <w:right w:type="dxa" w:w="140"/>
            </w:tcMar>
          </w:tcPr>
          <w:p>
            <w:r>
              <w:rPr>
                <w:rFonts w:ascii="Arial" w:cs="Arial" w:eastAsia="Arial" w:hAnsi="Arial"/>
                <w:b/>
                <w:bCs/>
                <w:color w:val="FFFFFF"/>
                <w:sz w:val="20"/>
                <w:szCs w:val="20"/>
              </w:rPr>
              <w:t xml:space="preserve">Milestone</w:t>
            </w:r>
          </w:p>
        </w:tc>
        <w:tc>
          <w:tcPr>
            <w:tcW w:type="dxa" w:w="2760"/>
            <w:tcBorders>
              <w:top w:val="single" w:color="D0CEF5" w:sz="1"/>
              <w:left w:val="single" w:color="D0CEF5" w:sz="1"/>
              <w:bottom w:val="single" w:color="D0CEF5" w:sz="1"/>
              <w:right w:val="single" w:color="D0CEF5" w:sz="1"/>
            </w:tcBorders>
            <w:shd w:fill="7F77DD" w:val="clear"/>
            <w:tcMar>
              <w:top w:type="dxa" w:w="100"/>
              <w:left w:type="dxa" w:w="140"/>
              <w:bottom w:type="dxa" w:w="100"/>
              <w:right w:type="dxa" w:w="140"/>
            </w:tcMar>
          </w:tcPr>
          <w:p>
            <w:r>
              <w:rPr>
                <w:rFonts w:ascii="Arial" w:cs="Arial" w:eastAsia="Arial" w:hAnsi="Arial"/>
                <w:b/>
                <w:bCs/>
                <w:color w:val="FFFFFF"/>
                <w:sz w:val="20"/>
                <w:szCs w:val="20"/>
              </w:rPr>
              <w:t xml:space="preserve">Customer mix</w:t>
            </w:r>
          </w:p>
        </w:tc>
        <w:tc>
          <w:tcPr>
            <w:tcW w:type="dxa" w:w="2760"/>
            <w:tcBorders>
              <w:top w:val="single" w:color="D0CEF5" w:sz="1"/>
              <w:left w:val="single" w:color="D0CEF5" w:sz="1"/>
              <w:bottom w:val="single" w:color="D0CEF5" w:sz="1"/>
              <w:right w:val="single" w:color="D0CEF5" w:sz="1"/>
            </w:tcBorders>
            <w:shd w:fill="7F77DD" w:val="clear"/>
            <w:tcMar>
              <w:top w:type="dxa" w:w="100"/>
              <w:left w:type="dxa" w:w="140"/>
              <w:bottom w:type="dxa" w:w="100"/>
              <w:right w:type="dxa" w:w="140"/>
            </w:tcMar>
          </w:tcPr>
          <w:p>
            <w:r>
              <w:rPr>
                <w:rFonts w:ascii="Arial" w:cs="Arial" w:eastAsia="Arial" w:hAnsi="Arial"/>
                <w:b/>
                <w:bCs/>
                <w:color w:val="FFFFFF"/>
                <w:sz w:val="20"/>
                <w:szCs w:val="20"/>
              </w:rPr>
              <w:t xml:space="preserve">MRR</w:t>
            </w:r>
          </w:p>
        </w:tc>
        <w:tc>
          <w:tcPr>
            <w:tcW w:type="dxa" w:w="2400"/>
            <w:tcBorders>
              <w:top w:val="single" w:color="D0CEF5" w:sz="1"/>
              <w:left w:val="single" w:color="D0CEF5" w:sz="1"/>
              <w:bottom w:val="single" w:color="D0CEF5" w:sz="1"/>
              <w:right w:val="single" w:color="D0CEF5" w:sz="1"/>
            </w:tcBorders>
            <w:shd w:fill="7F77DD" w:val="clear"/>
            <w:tcMar>
              <w:top w:type="dxa" w:w="100"/>
              <w:left w:type="dxa" w:w="140"/>
              <w:bottom w:type="dxa" w:w="100"/>
              <w:right w:type="dxa" w:w="140"/>
            </w:tcMar>
          </w:tcPr>
          <w:p>
            <w:r>
              <w:rPr>
                <w:rFonts w:ascii="Arial" w:cs="Arial" w:eastAsia="Arial" w:hAnsi="Arial"/>
                <w:b/>
                <w:bCs/>
                <w:color w:val="FFFFFF"/>
                <w:sz w:val="20"/>
                <w:szCs w:val="20"/>
              </w:rPr>
              <w:t xml:space="preserve">Timing</w:t>
            </w:r>
          </w:p>
        </w:tc>
      </w:tr>
      <w:tr>
        <w:trPr>
          <w:tblHeader w:val="false"/>
        </w:trPr>
        <w:tc>
          <w:tcPr>
            <w:tcW w:type="dxa" w:w="144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Seed traction</w:t>
            </w:r>
          </w:p>
        </w:tc>
        <w:tc>
          <w:tcPr>
            <w:tcW w:type="dxa" w:w="276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10 academic labs</w:t>
            </w:r>
          </w:p>
        </w:tc>
        <w:tc>
          <w:tcPr>
            <w:tcW w:type="dxa" w:w="276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1D9E75"/>
                <w:sz w:val="22"/>
                <w:szCs w:val="22"/>
              </w:rPr>
              <w:t xml:space="preserve">$2,990</w:t>
            </w:r>
          </w:p>
        </w:tc>
        <w:tc>
          <w:tcPr>
            <w:tcW w:type="dxa" w:w="24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Month 3</w:t>
            </w:r>
          </w:p>
        </w:tc>
      </w:tr>
      <w:tr>
        <w:trPr>
          <w:tblHeader w:val="false"/>
        </w:trPr>
        <w:tc>
          <w:tcPr>
            <w:tcW w:type="dxa" w:w="144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Pre-seed ready</w:t>
            </w:r>
          </w:p>
        </w:tc>
        <w:tc>
          <w:tcPr>
            <w:tcW w:type="dxa" w:w="276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10 academic + 5 Pro</w:t>
            </w:r>
          </w:p>
        </w:tc>
        <w:tc>
          <w:tcPr>
            <w:tcW w:type="dxa" w:w="276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1D9E75"/>
                <w:sz w:val="22"/>
                <w:szCs w:val="22"/>
              </w:rPr>
              <w:t xml:space="preserve">$7,485</w:t>
            </w:r>
          </w:p>
        </w:tc>
        <w:tc>
          <w:tcPr>
            <w:tcW w:type="dxa" w:w="24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Month 6</w:t>
            </w:r>
          </w:p>
        </w:tc>
      </w:tr>
      <w:tr>
        <w:trPr>
          <w:tblHeader w:val="false"/>
        </w:trPr>
        <w:tc>
          <w:tcPr>
            <w:tcW w:type="dxa" w:w="144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Revenue positive</w:t>
            </w:r>
          </w:p>
        </w:tc>
        <w:tc>
          <w:tcPr>
            <w:tcW w:type="dxa" w:w="276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+ 2 Enterprise contracts</w:t>
            </w:r>
          </w:p>
        </w:tc>
        <w:tc>
          <w:tcPr>
            <w:tcW w:type="dxa" w:w="276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bCs/>
                <w:color w:val="7F77DD"/>
                <w:sz w:val="22"/>
                <w:szCs w:val="22"/>
              </w:rPr>
              <w:t xml:space="preserve">$14,485</w:t>
            </w:r>
          </w:p>
        </w:tc>
        <w:tc>
          <w:tcPr>
            <w:tcW w:type="dxa" w:w="24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Month 9</w:t>
            </w:r>
          </w:p>
        </w:tc>
      </w:tr>
      <w:tr>
        <w:trPr>
          <w:tblHeader w:val="false"/>
        </w:trPr>
        <w:tc>
          <w:tcPr>
            <w:tcW w:type="dxa" w:w="144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Series A territory</w:t>
            </w:r>
          </w:p>
        </w:tc>
        <w:tc>
          <w:tcPr>
            <w:tcW w:type="dxa" w:w="276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20 Enterprise + mix</w:t>
            </w:r>
          </w:p>
        </w:tc>
        <w:tc>
          <w:tcPr>
            <w:tcW w:type="dxa" w:w="276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bCs/>
                <w:color w:val="D85A30"/>
                <w:sz w:val="22"/>
                <w:szCs w:val="22"/>
              </w:rPr>
              <w:t xml:space="preserve">$70,000+</w:t>
            </w:r>
          </w:p>
        </w:tc>
        <w:tc>
          <w:tcPr>
            <w:tcW w:type="dxa" w:w="24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Month 18</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378ADD" w:sz="1"/>
              <w:left w:val="single" w:color="378ADD" w:sz="1"/>
              <w:bottom w:val="single" w:color="378ADD" w:sz="1"/>
              <w:right w:val="single" w:color="378ADD" w:sz="1"/>
            </w:tcBorders>
            <w:shd w:fill="378ADD" w:val="clear"/>
            <w:tcMar>
              <w:top w:type="dxa" w:w="100"/>
              <w:left w:type="dxa" w:w="140"/>
              <w:bottom w:type="dxa" w:w="100"/>
              <w:right w:type="dxa" w:w="140"/>
            </w:tcMar>
            <w:vAlign w:val="center"/>
          </w:tcPr>
          <w:p>
            <w:r>
              <w:rPr>
                <w:rFonts w:ascii="Arial" w:cs="Arial" w:eastAsia="Arial" w:hAnsi="Arial"/>
                <w:b/>
                <w:bCs/>
                <w:color w:val="FFFFFF"/>
                <w:sz w:val="20"/>
                <w:szCs w:val="20"/>
              </w:rPr>
              <w:t xml:space="preserve">NOTE</w:t>
            </w:r>
          </w:p>
        </w:tc>
        <w:tc>
          <w:tcPr>
            <w:tcW w:type="dxa" w:w="8860"/>
            <w:tcBorders>
              <w:top w:val="single" w:color="378ADD" w:sz="1"/>
              <w:left w:val="single" w:color="378ADD" w:sz="1"/>
              <w:bottom w:val="single" w:color="378ADD" w:sz="1"/>
              <w:right w:val="single" w:color="378ADD" w:sz="1"/>
            </w:tcBorders>
            <w:shd w:fill="F0F6FF" w:val="clear"/>
            <w:tcMar>
              <w:top w:type="dxa" w:w="100"/>
              <w:left w:type="dxa" w:w="140"/>
              <w:bottom w:type="dxa" w:w="100"/>
              <w:right w:type="dxa" w:w="140"/>
            </w:tcMar>
          </w:tcPr>
          <w:p>
            <w:r>
              <w:rPr>
                <w:rFonts w:ascii="Arial" w:cs="Arial" w:eastAsia="Arial" w:hAnsi="Arial"/>
                <w:color w:val="1A1A2E"/>
                <w:sz w:val="22"/>
                <w:szCs w:val="22"/>
              </w:rPr>
              <w:t xml:space="preserve">These projections assume zero paid marketing spend. All growth is through academic lab referrals, conference demos, and partner channels. The gross margin (91-94%) means almost every incremental dollar of revenue flows to profit once fixed costs are covered.</w:t>
            </w:r>
          </w:p>
        </w:tc>
      </w:tr>
    </w:tbl>
    <w:p>
      <w:r>
        <w:br w:type="page"/>
      </w:r>
    </w:p>
    <w:p>
      <w:pPr>
        <w:pStyle w:val="Heading1"/>
        <w:spacing w:after="160" w:before="360"/>
      </w:pPr>
      <w:r>
        <w:rPr>
          <w:rFonts w:ascii="Arial" w:cs="Arial" w:eastAsia="Arial" w:hAnsi="Arial"/>
          <w:b/>
          <w:bCs/>
          <w:color w:val="1A1A2E"/>
          <w:sz w:val="36"/>
          <w:szCs w:val="36"/>
        </w:rPr>
        <w:t xml:space="preserve">11. Development Roadmap</w:t>
      </w:r>
    </w:p>
    <w:p>
      <w:pPr>
        <w:pBdr>
          <w:bottom w:val="single" w:color="7F77DD" w:sz="4" w:space="1"/>
        </w:pBdr>
        <w:spacing w:after="160" w:before="160"/>
      </w:pPr>
      <w:r>
        <w:t xml:space="preserve"/>
      </w:r>
    </w:p>
    <w:p>
      <w:pPr>
        <w:pStyle w:val="Heading2"/>
        <w:spacing w:after="120" w:before="280"/>
      </w:pPr>
      <w:r>
        <w:rPr>
          <w:rFonts w:ascii="Arial" w:cs="Arial" w:eastAsia="Arial" w:hAnsi="Arial"/>
          <w:b/>
          <w:bCs/>
          <w:color w:val="7F77DD"/>
          <w:sz w:val="28"/>
          <w:szCs w:val="28"/>
        </w:rPr>
        <w:t xml:space="preserve">Phase 1 — MVP (Months 0-3)</w:t>
      </w:r>
    </w:p>
    <w:p>
      <w:pPr>
        <w:pStyle w:val="ListParagraph"/>
        <w:numPr>
          <w:ilvl w:val="0"/>
          <w:numId w:val="3"/>
        </w:numPr>
        <w:spacing w:after="40" w:before="40"/>
      </w:pPr>
      <w:r>
        <w:rPr>
          <w:rFonts w:ascii="Arial" w:cs="Arial" w:eastAsia="Arial" w:hAnsi="Arial"/>
          <w:color w:val="5A5870"/>
          <w:sz w:val="22"/>
          <w:szCs w:val="22"/>
        </w:rPr>
        <w:t xml:space="preserve">Complete Django backend with all core endpoints (samples, pipelines, auth, teams, billing)</w:t>
      </w:r>
    </w:p>
    <w:p>
      <w:pPr>
        <w:pStyle w:val="ListParagraph"/>
        <w:numPr>
          <w:ilvl w:val="0"/>
          <w:numId w:val="3"/>
        </w:numPr>
        <w:spacing w:after="40" w:before="40"/>
      </w:pPr>
      <w:r>
        <w:rPr>
          <w:rFonts w:ascii="Arial" w:cs="Arial" w:eastAsia="Arial" w:hAnsi="Arial"/>
          <w:color w:val="5A5870"/>
          <w:sz w:val="22"/>
          <w:szCs w:val="22"/>
        </w:rPr>
        <w:t xml:space="preserve">React frontend with Explorer, Pipeline, Upload, Teams, Billing pages</w:t>
      </w:r>
    </w:p>
    <w:p>
      <w:pPr>
        <w:pStyle w:val="ListParagraph"/>
        <w:numPr>
          <w:ilvl w:val="0"/>
          <w:numId w:val="3"/>
        </w:numPr>
        <w:spacing w:after="40" w:before="40"/>
      </w:pPr>
      <w:r>
        <w:rPr>
          <w:rFonts w:ascii="Arial" w:cs="Arial" w:eastAsia="Arial" w:hAnsi="Arial"/>
          <w:color w:val="5A5870"/>
          <w:sz w:val="22"/>
          <w:szCs w:val="22"/>
        </w:rPr>
        <w:t xml:space="preserve">Celery worker with full 8-step Scanpy pipeline on CPU (Scanpy packages added back)</w:t>
      </w:r>
    </w:p>
    <w:p>
      <w:pPr>
        <w:pStyle w:val="ListParagraph"/>
        <w:numPr>
          <w:ilvl w:val="0"/>
          <w:numId w:val="3"/>
        </w:numPr>
        <w:spacing w:after="40" w:before="40"/>
      </w:pPr>
      <w:r>
        <w:rPr>
          <w:rFonts w:ascii="Arial" w:cs="Arial" w:eastAsia="Arial" w:hAnsi="Arial"/>
          <w:color w:val="5A5870"/>
          <w:sz w:val="22"/>
          <w:szCs w:val="22"/>
        </w:rPr>
        <w:t xml:space="preserve">Chunked S3 upload for large files up to 200 GB</w:t>
      </w:r>
    </w:p>
    <w:p>
      <w:pPr>
        <w:pStyle w:val="ListParagraph"/>
        <w:numPr>
          <w:ilvl w:val="0"/>
          <w:numId w:val="3"/>
        </w:numPr>
        <w:spacing w:after="40" w:before="40"/>
      </w:pPr>
      <w:r>
        <w:rPr>
          <w:rFonts w:ascii="Arial" w:cs="Arial" w:eastAsia="Arial" w:hAnsi="Arial"/>
          <w:color w:val="5A5870"/>
          <w:sz w:val="22"/>
          <w:szCs w:val="22"/>
        </w:rPr>
        <w:t xml:space="preserve">JWT authentication, multitenancy, RBAC</w:t>
      </w:r>
    </w:p>
    <w:p>
      <w:pPr>
        <w:pStyle w:val="ListParagraph"/>
        <w:numPr>
          <w:ilvl w:val="0"/>
          <w:numId w:val="3"/>
        </w:numPr>
        <w:spacing w:after="40" w:before="40"/>
      </w:pPr>
      <w:r>
        <w:rPr>
          <w:rFonts w:ascii="Arial" w:cs="Arial" w:eastAsia="Arial" w:hAnsi="Arial"/>
          <w:color w:val="5A5870"/>
          <w:sz w:val="22"/>
          <w:szCs w:val="22"/>
        </w:rPr>
        <w:t xml:space="preserve">Stripe billing integration — Academic and Pro plans</w:t>
      </w:r>
    </w:p>
    <w:p>
      <w:pPr>
        <w:pStyle w:val="ListParagraph"/>
        <w:numPr>
          <w:ilvl w:val="0"/>
          <w:numId w:val="3"/>
        </w:numPr>
        <w:spacing w:after="40" w:before="40"/>
      </w:pPr>
      <w:r>
        <w:rPr>
          <w:rFonts w:ascii="Arial" w:cs="Arial" w:eastAsia="Arial" w:hAnsi="Arial"/>
          <w:color w:val="5A5870"/>
          <w:sz w:val="22"/>
          <w:szCs w:val="22"/>
        </w:rPr>
        <w:t xml:space="preserve">drf-spectacular Swagger documentation</w:t>
      </w:r>
    </w:p>
    <w:p>
      <w:pPr>
        <w:pStyle w:val="ListParagraph"/>
        <w:numPr>
          <w:ilvl w:val="0"/>
          <w:numId w:val="3"/>
        </w:numPr>
        <w:spacing w:after="40" w:before="40"/>
      </w:pPr>
      <w:r>
        <w:rPr>
          <w:rFonts w:ascii="Arial" w:cs="Arial" w:eastAsia="Arial" w:hAnsi="Arial"/>
          <w:color w:val="5A5870"/>
          <w:sz w:val="22"/>
          <w:szCs w:val="22"/>
        </w:rPr>
        <w:t xml:space="preserve">Docker Compose development environment</w:t>
      </w:r>
    </w:p>
    <w:p>
      <w:pPr>
        <w:pStyle w:val="ListParagraph"/>
        <w:numPr>
          <w:ilvl w:val="0"/>
          <w:numId w:val="3"/>
        </w:numPr>
        <w:spacing w:after="40" w:before="40"/>
      </w:pPr>
      <w:r>
        <w:rPr>
          <w:rFonts w:ascii="Arial" w:cs="Arial" w:eastAsia="Arial" w:hAnsi="Arial"/>
          <w:color w:val="5A5870"/>
          <w:sz w:val="22"/>
          <w:szCs w:val="22"/>
        </w:rPr>
        <w:t xml:space="preserve">Deploy to AWS (ECS + RDS + ElastiCache + S3)</w:t>
      </w:r>
    </w:p>
    <w:p>
      <w:pPr>
        <w:pStyle w:val="ListParagraph"/>
        <w:numPr>
          <w:ilvl w:val="0"/>
          <w:numId w:val="3"/>
        </w:numPr>
        <w:spacing w:after="40" w:before="40"/>
      </w:pPr>
      <w:r>
        <w:rPr>
          <w:rFonts w:ascii="Arial" w:cs="Arial" w:eastAsia="Arial" w:hAnsi="Arial"/>
          <w:color w:val="5A5870"/>
          <w:sz w:val="22"/>
          <w:szCs w:val="22"/>
        </w:rPr>
        <w:t xml:space="preserve">First 10 academic lab pilots — free tier</w:t>
      </w:r>
    </w:p>
    <w:p>
      <w:pPr>
        <w:spacing w:after="120" w:before="0"/>
      </w:pPr>
      <w:r>
        <w:t xml:space="preserve"/>
      </w:r>
    </w:p>
    <w:p>
      <w:pPr>
        <w:pStyle w:val="Heading2"/>
        <w:spacing w:after="120" w:before="280"/>
      </w:pPr>
      <w:r>
        <w:rPr>
          <w:rFonts w:ascii="Arial" w:cs="Arial" w:eastAsia="Arial" w:hAnsi="Arial"/>
          <w:b/>
          <w:bCs/>
          <w:color w:val="7F77DD"/>
          <w:sz w:val="28"/>
          <w:szCs w:val="28"/>
        </w:rPr>
        <w:t xml:space="preserve">Phase 2 — Production (Months 3-6)</w:t>
      </w:r>
    </w:p>
    <w:p>
      <w:pPr>
        <w:pStyle w:val="ListParagraph"/>
        <w:numPr>
          <w:ilvl w:val="0"/>
          <w:numId w:val="3"/>
        </w:numPr>
        <w:spacing w:after="40" w:before="40"/>
      </w:pPr>
      <w:r>
        <w:rPr>
          <w:rFonts w:ascii="Arial" w:cs="Arial" w:eastAsia="Arial" w:hAnsi="Arial"/>
          <w:color w:val="5A5870"/>
          <w:sz w:val="22"/>
          <w:szCs w:val="22"/>
        </w:rPr>
        <w:t xml:space="preserve">GPU worker deployment on EC2 G4dn spot instances</w:t>
      </w:r>
    </w:p>
    <w:p>
      <w:pPr>
        <w:pStyle w:val="ListParagraph"/>
        <w:numPr>
          <w:ilvl w:val="0"/>
          <w:numId w:val="3"/>
        </w:numPr>
        <w:spacing w:after="40" w:before="40"/>
      </w:pPr>
      <w:r>
        <w:rPr>
          <w:rFonts w:ascii="Arial" w:cs="Arial" w:eastAsia="Arial" w:hAnsi="Arial"/>
          <w:color w:val="5A5870"/>
          <w:sz w:val="22"/>
          <w:szCs w:val="22"/>
        </w:rPr>
        <w:t xml:space="preserve">Xenium and CosMx platform ingest parsers</w:t>
      </w:r>
    </w:p>
    <w:p>
      <w:pPr>
        <w:pStyle w:val="ListParagraph"/>
        <w:numPr>
          <w:ilvl w:val="0"/>
          <w:numId w:val="3"/>
        </w:numPr>
        <w:spacing w:after="40" w:before="40"/>
      </w:pPr>
      <w:r>
        <w:rPr>
          <w:rFonts w:ascii="Arial" w:cs="Arial" w:eastAsia="Arial" w:hAnsi="Arial"/>
          <w:color w:val="5A5870"/>
          <w:sz w:val="22"/>
          <w:szCs w:val="22"/>
        </w:rPr>
        <w:t xml:space="preserve">Cross-sample comparison in Explorer</w:t>
      </w:r>
    </w:p>
    <w:p>
      <w:pPr>
        <w:pStyle w:val="ListParagraph"/>
        <w:numPr>
          <w:ilvl w:val="0"/>
          <w:numId w:val="3"/>
        </w:numPr>
        <w:spacing w:after="40" w:before="40"/>
      </w:pPr>
      <w:r>
        <w:rPr>
          <w:rFonts w:ascii="Arial" w:cs="Arial" w:eastAsia="Arial" w:hAnsi="Arial"/>
          <w:color w:val="5A5870"/>
          <w:sz w:val="22"/>
          <w:szCs w:val="22"/>
        </w:rPr>
        <w:t xml:space="preserve">HIPAA BAA flow for enterprise onboarding</w:t>
      </w:r>
    </w:p>
    <w:p>
      <w:pPr>
        <w:pStyle w:val="ListParagraph"/>
        <w:numPr>
          <w:ilvl w:val="0"/>
          <w:numId w:val="3"/>
        </w:numPr>
        <w:spacing w:after="40" w:before="40"/>
      </w:pPr>
      <w:r>
        <w:rPr>
          <w:rFonts w:ascii="Arial" w:cs="Arial" w:eastAsia="Arial" w:hAnsi="Arial"/>
          <w:color w:val="5A5870"/>
          <w:sz w:val="22"/>
          <w:szCs w:val="22"/>
        </w:rPr>
        <w:t xml:space="preserve">Full audit logging for all user actions</w:t>
      </w:r>
    </w:p>
    <w:p>
      <w:pPr>
        <w:pStyle w:val="ListParagraph"/>
        <w:numPr>
          <w:ilvl w:val="0"/>
          <w:numId w:val="3"/>
        </w:numPr>
        <w:spacing w:after="40" w:before="40"/>
      </w:pPr>
      <w:r>
        <w:rPr>
          <w:rFonts w:ascii="Arial" w:cs="Arial" w:eastAsia="Arial" w:hAnsi="Arial"/>
          <w:color w:val="5A5870"/>
          <w:sz w:val="22"/>
          <w:szCs w:val="22"/>
        </w:rPr>
        <w:t xml:space="preserve">PDF report generation with branded templates</w:t>
      </w:r>
    </w:p>
    <w:p>
      <w:pPr>
        <w:pStyle w:val="ListParagraph"/>
        <w:numPr>
          <w:ilvl w:val="0"/>
          <w:numId w:val="3"/>
        </w:numPr>
        <w:spacing w:after="40" w:before="40"/>
      </w:pPr>
      <w:r>
        <w:rPr>
          <w:rFonts w:ascii="Arial" w:cs="Arial" w:eastAsia="Arial" w:hAnsi="Arial"/>
          <w:color w:val="5A5870"/>
          <w:sz w:val="22"/>
          <w:szCs w:val="22"/>
        </w:rPr>
        <w:t xml:space="preserve">Conference demos — AGBT and AACR</w:t>
      </w:r>
    </w:p>
    <w:p>
      <w:pPr>
        <w:pStyle w:val="ListParagraph"/>
        <w:numPr>
          <w:ilvl w:val="0"/>
          <w:numId w:val="3"/>
        </w:numPr>
        <w:spacing w:after="40" w:before="40"/>
      </w:pPr>
      <w:r>
        <w:rPr>
          <w:rFonts w:ascii="Arial" w:cs="Arial" w:eastAsia="Arial" w:hAnsi="Arial"/>
          <w:color w:val="5A5870"/>
          <w:sz w:val="22"/>
          <w:szCs w:val="22"/>
        </w:rPr>
        <w:t xml:space="preserve">First paid subscriptions</w:t>
      </w:r>
    </w:p>
    <w:p>
      <w:pPr>
        <w:spacing w:after="120" w:before="0"/>
      </w:pPr>
      <w:r>
        <w:t xml:space="preserve"/>
      </w:r>
    </w:p>
    <w:p>
      <w:pPr>
        <w:pStyle w:val="Heading2"/>
        <w:spacing w:after="120" w:before="280"/>
      </w:pPr>
      <w:r>
        <w:rPr>
          <w:rFonts w:ascii="Arial" w:cs="Arial" w:eastAsia="Arial" w:hAnsi="Arial"/>
          <w:b/>
          <w:bCs/>
          <w:color w:val="7F77DD"/>
          <w:sz w:val="28"/>
          <w:szCs w:val="28"/>
        </w:rPr>
        <w:t xml:space="preserve">Phase 3 — Scale (Months 6-18)</w:t>
      </w:r>
    </w:p>
    <w:p>
      <w:pPr>
        <w:pStyle w:val="ListParagraph"/>
        <w:numPr>
          <w:ilvl w:val="0"/>
          <w:numId w:val="3"/>
        </w:numPr>
        <w:spacing w:after="40" w:before="40"/>
      </w:pPr>
      <w:r>
        <w:rPr>
          <w:rFonts w:ascii="Arial" w:cs="Arial" w:eastAsia="Arial" w:hAnsi="Arial"/>
          <w:color w:val="5A5870"/>
          <w:sz w:val="22"/>
          <w:szCs w:val="22"/>
        </w:rPr>
        <w:t xml:space="preserve">MERSCOPE and Slide-seq v2 ingest parsers</w:t>
      </w:r>
    </w:p>
    <w:p>
      <w:pPr>
        <w:pStyle w:val="ListParagraph"/>
        <w:numPr>
          <w:ilvl w:val="0"/>
          <w:numId w:val="3"/>
        </w:numPr>
        <w:spacing w:after="40" w:before="40"/>
      </w:pPr>
      <w:r>
        <w:rPr>
          <w:rFonts w:ascii="Arial" w:cs="Arial" w:eastAsia="Arial" w:hAnsi="Arial"/>
          <w:color w:val="5A5870"/>
          <w:sz w:val="22"/>
          <w:szCs w:val="22"/>
        </w:rPr>
        <w:t xml:space="preserve">EHR integration for hospital clinical labs</w:t>
      </w:r>
    </w:p>
    <w:p>
      <w:pPr>
        <w:pStyle w:val="ListParagraph"/>
        <w:numPr>
          <w:ilvl w:val="0"/>
          <w:numId w:val="3"/>
        </w:numPr>
        <w:spacing w:after="40" w:before="40"/>
      </w:pPr>
      <w:r>
        <w:rPr>
          <w:rFonts w:ascii="Arial" w:cs="Arial" w:eastAsia="Arial" w:hAnsi="Arial"/>
          <w:color w:val="5A5870"/>
          <w:sz w:val="22"/>
          <w:szCs w:val="22"/>
        </w:rPr>
        <w:t xml:space="preserve">Batch processing for clinical trial sample sets (100+ samples)</w:t>
      </w:r>
    </w:p>
    <w:p>
      <w:pPr>
        <w:pStyle w:val="ListParagraph"/>
        <w:numPr>
          <w:ilvl w:val="0"/>
          <w:numId w:val="3"/>
        </w:numPr>
        <w:spacing w:after="40" w:before="40"/>
      </w:pPr>
      <w:r>
        <w:rPr>
          <w:rFonts w:ascii="Arial" w:cs="Arial" w:eastAsia="Arial" w:hAnsi="Arial"/>
          <w:color w:val="5A5870"/>
          <w:sz w:val="22"/>
          <w:szCs w:val="22"/>
        </w:rPr>
        <w:t xml:space="preserve">bioRxiv benchmark paper submission</w:t>
      </w:r>
    </w:p>
    <w:p>
      <w:pPr>
        <w:pStyle w:val="ListParagraph"/>
        <w:numPr>
          <w:ilvl w:val="0"/>
          <w:numId w:val="3"/>
        </w:numPr>
        <w:spacing w:after="40" w:before="40"/>
      </w:pPr>
      <w:r>
        <w:rPr>
          <w:rFonts w:ascii="Arial" w:cs="Arial" w:eastAsia="Arial" w:hAnsi="Arial"/>
          <w:color w:val="5A5870"/>
          <w:sz w:val="22"/>
          <w:szCs w:val="22"/>
        </w:rPr>
        <w:t xml:space="preserve">NIH SBIR Phase I application</w:t>
      </w:r>
    </w:p>
    <w:p>
      <w:pPr>
        <w:pStyle w:val="ListParagraph"/>
        <w:numPr>
          <w:ilvl w:val="0"/>
          <w:numId w:val="3"/>
        </w:numPr>
        <w:spacing w:after="40" w:before="40"/>
      </w:pPr>
      <w:r>
        <w:rPr>
          <w:rFonts w:ascii="Arial" w:cs="Arial" w:eastAsia="Arial" w:hAnsi="Arial"/>
          <w:color w:val="5A5870"/>
          <w:sz w:val="22"/>
          <w:szCs w:val="22"/>
        </w:rPr>
        <w:t xml:space="preserve">Partner programme with 10x Genomics and Vizgen</w:t>
      </w:r>
    </w:p>
    <w:p>
      <w:pPr>
        <w:pStyle w:val="ListParagraph"/>
        <w:numPr>
          <w:ilvl w:val="0"/>
          <w:numId w:val="3"/>
        </w:numPr>
        <w:spacing w:after="40" w:before="40"/>
      </w:pPr>
      <w:r>
        <w:rPr>
          <w:rFonts w:ascii="Arial" w:cs="Arial" w:eastAsia="Arial" w:hAnsi="Arial"/>
          <w:color w:val="5A5870"/>
          <w:sz w:val="22"/>
          <w:szCs w:val="22"/>
        </w:rPr>
        <w:t xml:space="preserve">First enterprise pharma contracts</w:t>
      </w:r>
    </w:p>
    <w:p>
      <w:pPr>
        <w:pStyle w:val="ListParagraph"/>
        <w:numPr>
          <w:ilvl w:val="0"/>
          <w:numId w:val="3"/>
        </w:numPr>
        <w:spacing w:after="40" w:before="40"/>
      </w:pPr>
      <w:r>
        <w:rPr>
          <w:rFonts w:ascii="Arial" w:cs="Arial" w:eastAsia="Arial" w:hAnsi="Arial"/>
          <w:color w:val="5A5870"/>
          <w:sz w:val="22"/>
          <w:szCs w:val="22"/>
        </w:rPr>
        <w:t xml:space="preserve">Pre-seed fundraising ($500k-$1M)</w:t>
      </w:r>
    </w:p>
    <w:p>
      <w:r>
        <w:br w:type="page"/>
      </w:r>
    </w:p>
    <w:p>
      <w:pPr>
        <w:pStyle w:val="Heading1"/>
        <w:spacing w:after="160" w:before="360"/>
      </w:pPr>
      <w:r>
        <w:rPr>
          <w:rFonts w:ascii="Arial" w:cs="Arial" w:eastAsia="Arial" w:hAnsi="Arial"/>
          <w:b/>
          <w:bCs/>
          <w:color w:val="1A1A2E"/>
          <w:sz w:val="36"/>
          <w:szCs w:val="36"/>
        </w:rPr>
        <w:t xml:space="preserve">12. Appendix — Development Setup</w:t>
      </w:r>
    </w:p>
    <w:p>
      <w:pPr>
        <w:pBdr>
          <w:bottom w:val="single" w:color="7F77DD" w:sz="4" w:space="1"/>
        </w:pBdr>
        <w:spacing w:after="160" w:before="160"/>
      </w:pPr>
      <w:r>
        <w:t xml:space="preserve"/>
      </w:r>
    </w:p>
    <w:p>
      <w:pPr>
        <w:pStyle w:val="Heading2"/>
        <w:spacing w:after="120" w:before="280"/>
      </w:pPr>
      <w:r>
        <w:rPr>
          <w:rFonts w:ascii="Arial" w:cs="Arial" w:eastAsia="Arial" w:hAnsi="Arial"/>
          <w:b/>
          <w:bCs/>
          <w:color w:val="7F77DD"/>
          <w:sz w:val="28"/>
          <w:szCs w:val="28"/>
        </w:rPr>
        <w:t xml:space="preserve">12.1 Local Development</w:t>
      </w:r>
    </w:p>
    <w:p>
      <w:pPr>
        <w:spacing w:after="120" w:before="80"/>
      </w:pPr>
      <w:r>
        <w:rPr>
          <w:rFonts w:ascii="Arial" w:cs="Arial" w:eastAsia="Arial" w:hAnsi="Arial"/>
          <w:b w:val="false"/>
          <w:bCs w:val="false"/>
          <w:i w:val="false"/>
          <w:iCs w:val="false"/>
          <w:color w:val="5A5870"/>
          <w:sz w:val="22"/>
          <w:szCs w:val="22"/>
        </w:rPr>
        <w:t xml:space="preserve">The project is split into two independent repositories, each with its own Docker Compose:</w:t>
      </w:r>
    </w:p>
    <w:p>
      <w:pPr>
        <w:spacing w:after="120" w:before="0"/>
      </w:pPr>
      <w:r>
        <w:t xml:space="preserve"/>
      </w:r>
    </w:p>
    <w:p>
      <w:pPr>
        <w:pStyle w:val="ListParagraph"/>
        <w:numPr>
          <w:ilvl w:val="0"/>
          <w:numId w:val="3"/>
        </w:numPr>
        <w:spacing w:after="40" w:before="40"/>
      </w:pPr>
      <w:r>
        <w:rPr>
          <w:rFonts w:ascii="Arial" w:cs="Arial" w:eastAsia="Arial" w:hAnsi="Arial"/>
          <w:color w:val="5A5870"/>
          <w:sz w:val="22"/>
          <w:szCs w:val="22"/>
        </w:rPr>
        <w:t xml:space="preserve">spatialvision-backend/ — Django + Celery + PostgreSQL + Redis</w:t>
      </w:r>
    </w:p>
    <w:p>
      <w:pPr>
        <w:pStyle w:val="ListParagraph"/>
        <w:numPr>
          <w:ilvl w:val="0"/>
          <w:numId w:val="3"/>
        </w:numPr>
        <w:spacing w:after="40" w:before="40"/>
      </w:pPr>
      <w:r>
        <w:rPr>
          <w:rFonts w:ascii="Arial" w:cs="Arial" w:eastAsia="Arial" w:hAnsi="Arial"/>
          <w:color w:val="5A5870"/>
          <w:sz w:val="22"/>
          <w:szCs w:val="22"/>
        </w:rPr>
        <w:t xml:space="preserve">spatialvision-frontend/ — React + TypeScript</w:t>
      </w:r>
    </w:p>
    <w:p>
      <w:pPr>
        <w:spacing w:after="120" w:before="0"/>
      </w:pPr>
      <w:r>
        <w:t xml:space="preserve"/>
      </w:r>
    </w:p>
    <w:p>
      <w:pPr>
        <w:pStyle w:val="Heading3"/>
        <w:spacing w:after="80" w:before="200"/>
      </w:pPr>
      <w:r>
        <w:rPr>
          <w:rFonts w:ascii="Arial" w:cs="Arial" w:eastAsia="Arial" w:hAnsi="Arial"/>
          <w:b/>
          <w:bCs/>
          <w:color w:val="1A1A2E"/>
          <w:sz w:val="24"/>
          <w:szCs w:val="24"/>
        </w:rPr>
        <w:t xml:space="preserve">Backend startup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EF5" w:sz="1"/>
              <w:left w:val="single" w:color="D0CEF5" w:sz="1"/>
              <w:bottom w:val="single" w:color="D0CEF5" w:sz="1"/>
              <w:right w:val="single" w:color="D0CEF5" w:sz="1"/>
            </w:tcBorders>
            <w:shd w:fill="1A1A2E" w:val="clear"/>
            <w:tcMar>
              <w:top w:type="dxa" w:w="100"/>
              <w:left w:type="dxa" w:w="140"/>
              <w:bottom w:type="dxa" w:w="100"/>
              <w:right w:type="dxa" w:w="140"/>
            </w:tcMar>
          </w:tcPr>
          <w:p>
            <w:r>
              <w:rPr>
                <w:rFonts w:ascii="Courier New" w:cs="Courier New" w:eastAsia="Courier New" w:hAnsi="Courier New"/>
                <w:color w:val="4ECBA3"/>
                <w:sz w:val="20"/>
                <w:szCs w:val="20"/>
              </w:rPr>
              <w:t xml:space="preserve">cd spatialvision-backend</w:t>
            </w:r>
          </w:p>
          <w:p>
            <w:r>
              <w:rPr>
                <w:rFonts w:ascii="Courier New" w:cs="Courier New" w:eastAsia="Courier New" w:hAnsi="Courier New"/>
                <w:color w:val="4ECBA3"/>
                <w:sz w:val="20"/>
                <w:szCs w:val="20"/>
              </w:rPr>
              <w:t xml:space="preserve">docker compose up --build</w:t>
            </w:r>
          </w:p>
          <w:p>
            <w:r>
              <w:rPr>
                <w:rFonts w:ascii="Courier New" w:cs="Courier New" w:eastAsia="Courier New" w:hAnsi="Courier New"/>
                <w:color w:val="5A5870"/>
                <w:sz w:val="20"/>
                <w:szCs w:val="20"/>
              </w:rPr>
              <w:t xml:space="preserve"># First run only:</w:t>
            </w:r>
          </w:p>
          <w:p>
            <w:r>
              <w:rPr>
                <w:rFonts w:ascii="Courier New" w:cs="Courier New" w:eastAsia="Courier New" w:hAnsi="Courier New"/>
                <w:color w:val="85B7EB"/>
                <w:sz w:val="20"/>
                <w:szCs w:val="20"/>
              </w:rPr>
              <w:t xml:space="preserve">docker compose exec api python manage.py makemigrations accounts samples pipelines teams billing</w:t>
            </w:r>
          </w:p>
          <w:p>
            <w:r>
              <w:rPr>
                <w:rFonts w:ascii="Courier New" w:cs="Courier New" w:eastAsia="Courier New" w:hAnsi="Courier New"/>
                <w:color w:val="85B7EB"/>
                <w:sz w:val="20"/>
                <w:szCs w:val="20"/>
              </w:rPr>
              <w:t xml:space="preserve">docker compose exec api python manage.py migrate</w:t>
            </w:r>
          </w:p>
        </w:tc>
      </w:tr>
    </w:tbl>
    <w:p>
      <w:pPr>
        <w:spacing w:after="120" w:before="0"/>
      </w:pPr>
      <w:r>
        <w:t xml:space="preserve"/>
      </w:r>
    </w:p>
    <w:p>
      <w:pPr>
        <w:spacing w:after="120" w:before="80"/>
      </w:pPr>
      <w:r>
        <w:rPr>
          <w:rFonts w:ascii="Arial" w:cs="Arial" w:eastAsia="Arial" w:hAnsi="Arial"/>
          <w:b w:val="false"/>
          <w:bCs w:val="false"/>
          <w:i w:val="false"/>
          <w:iCs w:val="false"/>
          <w:color w:val="5A5870"/>
          <w:sz w:val="22"/>
          <w:szCs w:val="22"/>
        </w:rPr>
        <w:t xml:space="preserve">Access points after startup:</w:t>
      </w:r>
    </w:p>
    <w:p>
      <w:pPr>
        <w:pStyle w:val="ListParagraph"/>
        <w:numPr>
          <w:ilvl w:val="0"/>
          <w:numId w:val="3"/>
        </w:numPr>
        <w:spacing w:after="40" w:before="40"/>
      </w:pPr>
      <w:r>
        <w:rPr>
          <w:rFonts w:ascii="Arial" w:cs="Arial" w:eastAsia="Arial" w:hAnsi="Arial"/>
          <w:color w:val="5A5870"/>
          <w:sz w:val="22"/>
          <w:szCs w:val="22"/>
        </w:rPr>
        <w:t xml:space="preserve">API root: http://localhost:8000/api/</w:t>
      </w:r>
    </w:p>
    <w:p>
      <w:pPr>
        <w:pStyle w:val="ListParagraph"/>
        <w:numPr>
          <w:ilvl w:val="0"/>
          <w:numId w:val="3"/>
        </w:numPr>
        <w:spacing w:after="40" w:before="40"/>
      </w:pPr>
      <w:r>
        <w:rPr>
          <w:rFonts w:ascii="Arial" w:cs="Arial" w:eastAsia="Arial" w:hAnsi="Arial"/>
          <w:color w:val="5A5870"/>
          <w:sz w:val="22"/>
          <w:szCs w:val="22"/>
        </w:rPr>
        <w:t xml:space="preserve">Swagger UI: http://localhost:8000/api/docs/</w:t>
      </w:r>
    </w:p>
    <w:p>
      <w:pPr>
        <w:pStyle w:val="ListParagraph"/>
        <w:numPr>
          <w:ilvl w:val="0"/>
          <w:numId w:val="3"/>
        </w:numPr>
        <w:spacing w:after="40" w:before="40"/>
      </w:pPr>
      <w:r>
        <w:rPr>
          <w:rFonts w:ascii="Arial" w:cs="Arial" w:eastAsia="Arial" w:hAnsi="Arial"/>
          <w:color w:val="5A5870"/>
          <w:sz w:val="22"/>
          <w:szCs w:val="22"/>
        </w:rPr>
        <w:t xml:space="preserve">Django admin: http://localhost:8000/admin/</w:t>
      </w:r>
    </w:p>
    <w:p>
      <w:pPr>
        <w:spacing w:after="120" w:before="0"/>
      </w:pPr>
      <w:r>
        <w:t xml:space="preserve"/>
      </w:r>
    </w:p>
    <w:p>
      <w:pPr>
        <w:pStyle w:val="Heading3"/>
        <w:spacing w:after="80" w:before="200"/>
      </w:pPr>
      <w:r>
        <w:rPr>
          <w:rFonts w:ascii="Arial" w:cs="Arial" w:eastAsia="Arial" w:hAnsi="Arial"/>
          <w:b/>
          <w:bCs/>
          <w:color w:val="1A1A2E"/>
          <w:sz w:val="24"/>
          <w:szCs w:val="24"/>
        </w:rPr>
        <w:t xml:space="preserve">Frontend startup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EF5" w:sz="1"/>
              <w:left w:val="single" w:color="D0CEF5" w:sz="1"/>
              <w:bottom w:val="single" w:color="D0CEF5" w:sz="1"/>
              <w:right w:val="single" w:color="D0CEF5" w:sz="1"/>
            </w:tcBorders>
            <w:shd w:fill="1A1A2E" w:val="clear"/>
            <w:tcMar>
              <w:top w:type="dxa" w:w="100"/>
              <w:left w:type="dxa" w:w="140"/>
              <w:bottom w:type="dxa" w:w="100"/>
              <w:right w:type="dxa" w:w="140"/>
            </w:tcMar>
          </w:tcPr>
          <w:p>
            <w:r>
              <w:rPr>
                <w:rFonts w:ascii="Courier New" w:cs="Courier New" w:eastAsia="Courier New" w:hAnsi="Courier New"/>
                <w:color w:val="4ECBA3"/>
                <w:sz w:val="20"/>
                <w:szCs w:val="20"/>
              </w:rPr>
              <w:t xml:space="preserve">cd spatialvision-frontend</w:t>
            </w:r>
          </w:p>
          <w:p>
            <w:r>
              <w:rPr>
                <w:rFonts w:ascii="Courier New" w:cs="Courier New" w:eastAsia="Courier New" w:hAnsi="Courier New"/>
                <w:color w:val="4ECBA3"/>
                <w:sz w:val="20"/>
                <w:szCs w:val="20"/>
              </w:rPr>
              <w:t xml:space="preserve">docker compose up --build</w:t>
            </w:r>
          </w:p>
          <w:p>
            <w:r>
              <w:rPr>
                <w:rFonts w:ascii="Courier New" w:cs="Courier New" w:eastAsia="Courier New" w:hAnsi="Courier New"/>
                <w:color w:val="5A5870"/>
                <w:sz w:val="20"/>
                <w:szCs w:val="20"/>
              </w:rPr>
              <w:t xml:space="preserve"># App available at: http://localhost:3001</w:t>
            </w:r>
          </w:p>
        </w:tc>
      </w:tr>
    </w:tbl>
    <w:p>
      <w:pPr>
        <w:spacing w:after="120" w:before="0"/>
      </w:pPr>
      <w:r>
        <w:t xml:space="preserve"/>
      </w:r>
    </w:p>
    <w:p>
      <w:pPr>
        <w:pStyle w:val="Heading2"/>
        <w:spacing w:after="120" w:before="280"/>
      </w:pPr>
      <w:r>
        <w:rPr>
          <w:rFonts w:ascii="Arial" w:cs="Arial" w:eastAsia="Arial" w:hAnsi="Arial"/>
          <w:b/>
          <w:bCs/>
          <w:color w:val="7F77DD"/>
          <w:sz w:val="28"/>
          <w:szCs w:val="28"/>
        </w:rPr>
        <w:t xml:space="preserve">12.2 Key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160"/>
        <w:gridCol w:w="3400"/>
      </w:tblGrid>
      <w:tr>
        <w:trPr>
          <w:tblHeader/>
        </w:trPr>
        <w:tc>
          <w:tcPr>
            <w:tcW w:type="dxa" w:w="2800"/>
            <w:tcBorders>
              <w:top w:val="single" w:color="D0CEF5" w:sz="1"/>
              <w:left w:val="single" w:color="D0CEF5" w:sz="1"/>
              <w:bottom w:val="single" w:color="D0CEF5" w:sz="1"/>
              <w:right w:val="single" w:color="D0CEF5" w:sz="1"/>
            </w:tcBorders>
            <w:shd w:fill="7F77DD" w:val="clear"/>
            <w:tcMar>
              <w:top w:type="dxa" w:w="100"/>
              <w:left w:type="dxa" w:w="140"/>
              <w:bottom w:type="dxa" w:w="100"/>
              <w:right w:type="dxa" w:w="140"/>
            </w:tcMar>
          </w:tcPr>
          <w:p>
            <w:r>
              <w:rPr>
                <w:rFonts w:ascii="Arial" w:cs="Arial" w:eastAsia="Arial" w:hAnsi="Arial"/>
                <w:b/>
                <w:bCs/>
                <w:color w:val="FFFFFF"/>
                <w:sz w:val="20"/>
                <w:szCs w:val="20"/>
              </w:rPr>
              <w:t xml:space="preserve">Variable</w:t>
            </w:r>
          </w:p>
        </w:tc>
        <w:tc>
          <w:tcPr>
            <w:tcW w:type="dxa" w:w="3160"/>
            <w:tcBorders>
              <w:top w:val="single" w:color="D0CEF5" w:sz="1"/>
              <w:left w:val="single" w:color="D0CEF5" w:sz="1"/>
              <w:bottom w:val="single" w:color="D0CEF5" w:sz="1"/>
              <w:right w:val="single" w:color="D0CEF5" w:sz="1"/>
            </w:tcBorders>
            <w:shd w:fill="7F77DD" w:val="clear"/>
            <w:tcMar>
              <w:top w:type="dxa" w:w="100"/>
              <w:left w:type="dxa" w:w="140"/>
              <w:bottom w:type="dxa" w:w="100"/>
              <w:right w:type="dxa" w:w="140"/>
            </w:tcMar>
          </w:tcPr>
          <w:p>
            <w:r>
              <w:rPr>
                <w:rFonts w:ascii="Arial" w:cs="Arial" w:eastAsia="Arial" w:hAnsi="Arial"/>
                <w:b/>
                <w:bCs/>
                <w:color w:val="FFFFFF"/>
                <w:sz w:val="20"/>
                <w:szCs w:val="20"/>
              </w:rPr>
              <w:t xml:space="preserve">Required for</w:t>
            </w:r>
          </w:p>
        </w:tc>
        <w:tc>
          <w:tcPr>
            <w:tcW w:type="dxa" w:w="3400"/>
            <w:tcBorders>
              <w:top w:val="single" w:color="D0CEF5" w:sz="1"/>
              <w:left w:val="single" w:color="D0CEF5" w:sz="1"/>
              <w:bottom w:val="single" w:color="D0CEF5" w:sz="1"/>
              <w:right w:val="single" w:color="D0CEF5" w:sz="1"/>
            </w:tcBorders>
            <w:shd w:fill="7F77DD" w:val="clear"/>
            <w:tcMar>
              <w:top w:type="dxa" w:w="100"/>
              <w:left w:type="dxa" w:w="140"/>
              <w:bottom w:type="dxa" w:w="100"/>
              <w:right w:type="dxa" w:w="140"/>
            </w:tcMar>
          </w:tcPr>
          <w:p>
            <w:r>
              <w:rPr>
                <w:rFonts w:ascii="Arial" w:cs="Arial" w:eastAsia="Arial" w:hAnsi="Arial"/>
                <w:b/>
                <w:bCs/>
                <w:color w:val="FFFFFF"/>
                <w:sz w:val="20"/>
                <w:szCs w:val="20"/>
              </w:rPr>
              <w:t xml:space="preserve">Where to get it</w:t>
            </w:r>
          </w:p>
        </w:tc>
      </w:tr>
      <w:tr>
        <w:trPr>
          <w:tblHeader w:val="false"/>
        </w:trPr>
        <w:tc>
          <w:tcPr>
            <w:tcW w:type="dxa" w:w="28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ANTHROPIC_API_KEY</w:t>
            </w:r>
          </w:p>
        </w:tc>
        <w:tc>
          <w:tcPr>
            <w:tcW w:type="dxa" w:w="316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AI cell type annotation</w:t>
            </w:r>
          </w:p>
        </w:tc>
        <w:tc>
          <w:tcPr>
            <w:tcW w:type="dxa" w:w="34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console.anthropic.com</w:t>
            </w:r>
          </w:p>
        </w:tc>
      </w:tr>
      <w:tr>
        <w:trPr>
          <w:tblHeader w:val="false"/>
        </w:trPr>
        <w:tc>
          <w:tcPr>
            <w:tcW w:type="dxa" w:w="28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AWS_ACCESS_KEY_ID</w:t>
            </w:r>
          </w:p>
        </w:tc>
        <w:tc>
          <w:tcPr>
            <w:tcW w:type="dxa" w:w="316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File storage (S3)</w:t>
            </w:r>
          </w:p>
        </w:tc>
        <w:tc>
          <w:tcPr>
            <w:tcW w:type="dxa" w:w="34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AWS IAM console</w:t>
            </w:r>
          </w:p>
        </w:tc>
      </w:tr>
      <w:tr>
        <w:trPr>
          <w:tblHeader w:val="false"/>
        </w:trPr>
        <w:tc>
          <w:tcPr>
            <w:tcW w:type="dxa" w:w="28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AWS_SECRET_ACCESS_KEY</w:t>
            </w:r>
          </w:p>
        </w:tc>
        <w:tc>
          <w:tcPr>
            <w:tcW w:type="dxa" w:w="316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File storage (S3)</w:t>
            </w:r>
          </w:p>
        </w:tc>
        <w:tc>
          <w:tcPr>
            <w:tcW w:type="dxa" w:w="34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AWS IAM console</w:t>
            </w:r>
          </w:p>
        </w:tc>
      </w:tr>
      <w:tr>
        <w:trPr>
          <w:tblHeader w:val="false"/>
        </w:trPr>
        <w:tc>
          <w:tcPr>
            <w:tcW w:type="dxa" w:w="28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STRIPE_SECRET_KEY</w:t>
            </w:r>
          </w:p>
        </w:tc>
        <w:tc>
          <w:tcPr>
            <w:tcW w:type="dxa" w:w="316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Billing + subscriptions</w:t>
            </w:r>
          </w:p>
        </w:tc>
        <w:tc>
          <w:tcPr>
            <w:tcW w:type="dxa" w:w="34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dashboard.stripe.com</w:t>
            </w:r>
          </w:p>
        </w:tc>
      </w:tr>
      <w:tr>
        <w:trPr>
          <w:tblHeader w:val="false"/>
        </w:trPr>
        <w:tc>
          <w:tcPr>
            <w:tcW w:type="dxa" w:w="28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ADMIN_EMAIL</w:t>
            </w:r>
          </w:p>
        </w:tc>
        <w:tc>
          <w:tcPr>
            <w:tcW w:type="dxa" w:w="316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Auto-created superuser</w:t>
            </w:r>
          </w:p>
        </w:tc>
        <w:tc>
          <w:tcPr>
            <w:tcW w:type="dxa" w:w="34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Set in docker-compose.yml</w:t>
            </w:r>
          </w:p>
        </w:tc>
      </w:tr>
      <w:tr>
        <w:trPr>
          <w:tblHeader w:val="false"/>
        </w:trPr>
        <w:tc>
          <w:tcPr>
            <w:tcW w:type="dxa" w:w="28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ADMIN_PASSWORD</w:t>
            </w:r>
          </w:p>
        </w:tc>
        <w:tc>
          <w:tcPr>
            <w:tcW w:type="dxa" w:w="316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Auto-created superuser</w:t>
            </w:r>
          </w:p>
        </w:tc>
        <w:tc>
          <w:tcPr>
            <w:tcW w:type="dxa" w:w="3400"/>
            <w:tcBorders>
              <w:top w:val="single" w:color="D0CEF5" w:sz="1"/>
              <w:left w:val="single" w:color="D0CEF5" w:sz="1"/>
              <w:bottom w:val="single" w:color="D0CEF5" w:sz="1"/>
              <w:right w:val="single" w:color="D0CEF5" w:sz="1"/>
            </w:tcBorders>
            <w:shd w:fill="FFFFFF" w:val="clear"/>
            <w:tcMar>
              <w:top w:type="dxa" w:w="100"/>
              <w:left w:type="dxa" w:w="140"/>
              <w:bottom w:type="dxa" w:w="100"/>
              <w:right w:type="dxa" w:w="140"/>
            </w:tcMar>
          </w:tcPr>
          <w:p>
            <w:r>
              <w:rPr>
                <w:rFonts w:ascii="Arial" w:cs="Arial" w:eastAsia="Arial" w:hAnsi="Arial"/>
                <w:b w:val="false"/>
                <w:bCs w:val="false"/>
                <w:color w:val="5A5870"/>
                <w:sz w:val="22"/>
                <w:szCs w:val="22"/>
              </w:rPr>
              <w:t xml:space="preserve">Set in docker-compose.yml</w:t>
            </w:r>
          </w:p>
        </w:tc>
      </w:tr>
    </w:tbl>
    <w:p>
      <w:pPr>
        <w:spacing w:after="120" w:before="0"/>
      </w:pPr>
      <w:r>
        <w:t xml:space="preserve"/>
      </w:r>
    </w:p>
    <w:p>
      <w:pPr>
        <w:spacing w:after="120" w:before="80"/>
      </w:pPr>
      <w:r>
        <w:rPr>
          <w:rFonts w:ascii="Arial" w:cs="Arial" w:eastAsia="Arial" w:hAnsi="Arial"/>
          <w:b w:val="false"/>
          <w:bCs w:val="false"/>
          <w:i/>
          <w:iCs/>
          <w:color w:val="5A5870"/>
          <w:sz w:val="22"/>
          <w:szCs w:val="22"/>
        </w:rPr>
        <w:t xml:space="preserve">All variables except ADMIN_EMAIL and ADMIN_PASSWORD can be left blank for local development. The app will start and most features will work — only file uploads (S3), AI annotation (Anthropic), and billing (Stripe) will fail gracefully.</w:t>
      </w:r>
    </w:p>
    <w:p>
      <w:pPr>
        <w:spacing w:after="240" w:before="0"/>
      </w:pPr>
      <w:r>
        <w:t xml:space="preserve"/>
      </w:r>
    </w:p>
    <w:p>
      <w:pPr>
        <w:pBdr>
          <w:bottom w:val="single" w:color="7F77DD" w:sz="4" w:space="1"/>
        </w:pBdr>
        <w:spacing w:after="160" w:before="160"/>
      </w:pPr>
      <w:r>
        <w:t xml:space="preserve"/>
      </w:r>
    </w:p>
    <w:p>
      <w:pPr>
        <w:spacing w:after="0" w:before="160"/>
        <w:jc w:val="center"/>
      </w:pPr>
      <w:r>
        <w:rPr>
          <w:rFonts w:ascii="Arial" w:cs="Arial" w:eastAsia="Arial" w:hAnsi="Arial"/>
          <w:i/>
          <w:iCs/>
          <w:color w:val="5A5870"/>
          <w:sz w:val="18"/>
          <w:szCs w:val="18"/>
        </w:rPr>
        <w:t xml:space="preserve">SpatialVision — Confidential Product Document — May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CEF5" w:sz="4" w:space="1"/>
      </w:pBdr>
      <w:tabs>
        <w:tab w:val="right" w:pos="9026"/>
      </w:tabs>
      <w:spacing w:after="0" w:before="120"/>
    </w:pPr>
    <w:r>
      <w:rPr>
        <w:rFonts w:ascii="Arial" w:cs="Arial" w:eastAsia="Arial" w:hAnsi="Arial"/>
        <w:color w:val="5A5870"/>
        <w:sz w:val="18"/>
        <w:szCs w:val="18"/>
      </w:rPr>
      <w:t xml:space="preserve">Confidential — SpatialVision 2026</w:t>
    </w:r>
    <w:r>
      <w:rPr>
        <w:rFonts w:ascii="Arial" w:cs="Arial" w:eastAsia="Arial" w:hAnsi="Arial"/>
        <w:color w:val="5A5870"/>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F77DD" w:sz="4" w:space="1"/>
      </w:pBdr>
      <w:tabs>
        <w:tab w:val="right" w:pos="9026"/>
      </w:tabs>
      <w:spacing w:after="120" w:before="0"/>
    </w:pPr>
    <w:r>
      <w:rPr>
        <w:rFonts w:ascii="Arial" w:cs="Arial" w:eastAsia="Arial" w:hAnsi="Arial"/>
        <w:b/>
        <w:bCs/>
        <w:color w:val="7F77DD"/>
        <w:sz w:val="20"/>
        <w:szCs w:val="20"/>
      </w:rPr>
      <w:t xml:space="preserve">SpatialVision</w:t>
    </w:r>
    <w:r>
      <w:rPr>
        <w:rFonts w:ascii="Arial" w:cs="Arial" w:eastAsia="Arial" w:hAnsi="Arial"/>
        <w:color w:val="5A5870"/>
        <w:sz w:val="20"/>
        <w:szCs w:val="20"/>
      </w:rPr>
      <w:t xml:space="preserve">	Product Plan &amp; Technical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7F77DD"/>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2026-05-20T19:12:46.888Z</dcterms:created>
  <dcterms:modified xsi:type="dcterms:W3CDTF">2026-05-20T19:12:46.889Z</dcterms:modified>
</cp:coreProperties>
</file>

<file path=docProps/custom.xml><?xml version="1.0" encoding="utf-8"?>
<Properties xmlns="http://schemas.openxmlformats.org/officeDocument/2006/custom-properties" xmlns:vt="http://schemas.openxmlformats.org/officeDocument/2006/docPropsVTypes"/>
</file>