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p w14:paraId="61FBB172" w14:textId="77777777" w:rsidR="00FB5366" w:rsidRPr="00FB5366" w:rsidRDefault="00FB5366" w:rsidP="00FB5366">
      <w:pPr>
        <w:rPr>
          <w:rFonts w:ascii="Arial" w:hAnsi="Arial" w:cs="Arial"/>
          <w:color w:val="000000" w:themeColor="text1"/>
          <w:lang w:val="en-IN"/>
        </w:rPr>
      </w:pPr>
      <w:r w:rsidRPr="00FB5366">
        <w:rPr>
          <w:rFonts w:ascii="Arial" w:hAnsi="Arial" w:cs="Arial"/>
          <w:color w:val="000000" w:themeColor="text1"/>
          <w:lang w:val="en-IN"/>
        </w:rPr>
        <w:t xml:space="preserve">Our predictive analysis identifies clear </w:t>
      </w:r>
      <w:proofErr w:type="spellStart"/>
      <w:r w:rsidRPr="00FB5366">
        <w:rPr>
          <w:rFonts w:ascii="Arial" w:hAnsi="Arial" w:cs="Arial"/>
          <w:color w:val="000000" w:themeColor="text1"/>
          <w:lang w:val="en-IN"/>
        </w:rPr>
        <w:t>behavioral</w:t>
      </w:r>
      <w:proofErr w:type="spellEnd"/>
      <w:r w:rsidRPr="00FB5366">
        <w:rPr>
          <w:rFonts w:ascii="Arial" w:hAnsi="Arial" w:cs="Arial"/>
          <w:color w:val="000000" w:themeColor="text1"/>
          <w:lang w:val="en-IN"/>
        </w:rPr>
        <w:t xml:space="preserve"> triggers that precede credit delinquency at </w:t>
      </w:r>
      <w:proofErr w:type="spellStart"/>
      <w:r w:rsidRPr="00FB5366">
        <w:rPr>
          <w:rFonts w:ascii="Arial" w:hAnsi="Arial" w:cs="Arial"/>
          <w:color w:val="000000" w:themeColor="text1"/>
          <w:lang w:val="en-IN"/>
        </w:rPr>
        <w:t>Geldium</w:t>
      </w:r>
      <w:proofErr w:type="spellEnd"/>
      <w:r w:rsidRPr="00FB5366">
        <w:rPr>
          <w:rFonts w:ascii="Arial" w:hAnsi="Arial" w:cs="Arial"/>
          <w:color w:val="000000" w:themeColor="text1"/>
          <w:lang w:val="en-IN"/>
        </w:rPr>
        <w:t>. The model reveals that traditional credit scores are less predictive in this portfolio than real-time utilization and debt-to-income metrics.</w:t>
      </w:r>
    </w:p>
    <w:p w14:paraId="0FD35F3B" w14:textId="77777777" w:rsidR="00FB5366" w:rsidRPr="00FB5366" w:rsidRDefault="00FB5366" w:rsidP="00FB5366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IN"/>
        </w:rPr>
      </w:pPr>
      <w:r w:rsidRPr="00FB5366">
        <w:rPr>
          <w:rFonts w:ascii="Arial" w:hAnsi="Arial" w:cs="Arial"/>
          <w:b/>
          <w:bCs/>
          <w:color w:val="000000" w:themeColor="text1"/>
          <w:lang w:val="en-IN"/>
        </w:rPr>
        <w:t>High-Risk Segments:</w:t>
      </w:r>
      <w:r w:rsidRPr="00FB5366">
        <w:rPr>
          <w:rFonts w:ascii="Arial" w:hAnsi="Arial" w:cs="Arial"/>
          <w:color w:val="000000" w:themeColor="text1"/>
          <w:lang w:val="en-IN"/>
        </w:rPr>
        <w:t xml:space="preserve"> Business and Student cardholders show delinquency rates above 17%, which is significantly higher than the portfolio average.</w:t>
      </w:r>
    </w:p>
    <w:p w14:paraId="3AF906F1" w14:textId="77777777" w:rsidR="00FB5366" w:rsidRPr="00FB5366" w:rsidRDefault="00FB5366" w:rsidP="00FB5366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IN"/>
        </w:rPr>
      </w:pPr>
      <w:r w:rsidRPr="00FB5366">
        <w:rPr>
          <w:rFonts w:ascii="Arial" w:hAnsi="Arial" w:cs="Arial"/>
          <w:b/>
          <w:bCs/>
          <w:color w:val="000000" w:themeColor="text1"/>
          <w:lang w:val="en-IN"/>
        </w:rPr>
        <w:t>Primary Predictors:</w:t>
      </w:r>
      <w:r w:rsidRPr="00FB5366">
        <w:rPr>
          <w:rFonts w:ascii="Arial" w:hAnsi="Arial" w:cs="Arial"/>
          <w:color w:val="000000" w:themeColor="text1"/>
          <w:lang w:val="en-IN"/>
        </w:rPr>
        <w:t xml:space="preserve"> Debt-to-Income (DTI) ratio and Credit Utilization are the most influential variables, contributing to nearly 30% of the model’s predictive power.</w:t>
      </w:r>
    </w:p>
    <w:p w14:paraId="7E8C2157" w14:textId="77777777" w:rsidR="00FB5366" w:rsidRPr="00FB5366" w:rsidRDefault="00FB5366" w:rsidP="00FB5366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IN"/>
        </w:rPr>
      </w:pPr>
      <w:r w:rsidRPr="00FB5366">
        <w:rPr>
          <w:rFonts w:ascii="Arial" w:hAnsi="Arial" w:cs="Arial"/>
          <w:b/>
          <w:bCs/>
          <w:color w:val="000000" w:themeColor="text1"/>
          <w:lang w:val="en-IN"/>
        </w:rPr>
        <w:t>Regional Trends:</w:t>
      </w:r>
      <w:r w:rsidRPr="00FB5366">
        <w:rPr>
          <w:rFonts w:ascii="Arial" w:hAnsi="Arial" w:cs="Arial"/>
          <w:color w:val="000000" w:themeColor="text1"/>
          <w:lang w:val="en-IN"/>
        </w:rPr>
        <w:t xml:space="preserve"> Customers in Los Angeles exhibit a 19.6% delinquency risk, likely tied to higher cost-of-living pressures and utilization spikes.</w:t>
      </w: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50"/>
        <w:gridCol w:w="1475"/>
        <w:gridCol w:w="3870"/>
        <w:gridCol w:w="2205"/>
      </w:tblGrid>
      <w:tr w:rsidR="00A537D1" w:rsidRPr="00A537D1" w14:paraId="36311A05" w14:textId="77777777" w:rsidTr="00A537D1">
        <w:trPr>
          <w:trHeight w:val="33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A7E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69F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034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0553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A537D1" w:rsidRPr="00A537D1" w14:paraId="4217145F" w14:textId="77777777" w:rsidTr="00A537D1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FF5A1" w14:textId="3CE33559" w:rsidR="00A537D1" w:rsidRPr="00A537D1" w:rsidRDefault="00FB5366" w:rsidP="00FB5366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Liquidity Squeeze Trigger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EE3BA" w14:textId="467D648C" w:rsidR="00A537D1" w:rsidRPr="00A537D1" w:rsidRDefault="00FB5366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Business Card Holders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31FED" w14:textId="3F7DDF2F" w:rsidR="00A537D1" w:rsidRPr="00A537D1" w:rsidRDefault="00FB5366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Utilization &gt; 75%, DTI &gt; 40%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C9A44" w14:textId="5CAF9208" w:rsidR="00A537D1" w:rsidRPr="00A537D1" w:rsidRDefault="00FB5366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Early Intervention can reduce defaults by 15%</w:t>
            </w:r>
          </w:p>
        </w:tc>
      </w:tr>
      <w:tr w:rsidR="00FB5366" w:rsidRPr="00A537D1" w14:paraId="6FE629BE" w14:textId="77777777" w:rsidTr="00FB5366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A9B70" w14:textId="63E302CC" w:rsidR="00FB5366" w:rsidRPr="00A537D1" w:rsidRDefault="00FB5366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Entry-Level Vulnerability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9EB02" w14:textId="44143025" w:rsidR="00FB5366" w:rsidRPr="00A537D1" w:rsidRDefault="00FB5366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Student Card Holders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984F7" w14:textId="2AF5EBEA" w:rsidR="00FB5366" w:rsidRPr="00A537D1" w:rsidRDefault="00FB5366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Low Income, Account Tenure &lt; 1yr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EDE61" w14:textId="004196C7" w:rsidR="00FB5366" w:rsidRPr="00A537D1" w:rsidRDefault="00FB5366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Personalized financial education can improve retention</w:t>
            </w:r>
          </w:p>
        </w:tc>
      </w:tr>
    </w:tbl>
    <w:p w14:paraId="50978634" w14:textId="77777777" w:rsidR="00A537D1" w:rsidRPr="00A537D1" w:rsidRDefault="00A537D1">
      <w:pPr>
        <w:rPr>
          <w:rFonts w:ascii="Arial" w:hAnsi="Arial" w:cs="Arial"/>
          <w:color w:val="000000" w:themeColor="text1"/>
        </w:rPr>
      </w:pPr>
    </w:p>
    <w:p w14:paraId="72833B3F" w14:textId="77777777" w:rsidR="007D72C2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2. Recommendation Framework</w:t>
      </w:r>
    </w:p>
    <w:p w14:paraId="2166AE6A" w14:textId="77777777" w:rsidR="00FB5366" w:rsidRPr="00FB5366" w:rsidRDefault="00FB5366" w:rsidP="00FB5366"/>
    <w:p w14:paraId="6CE07FC9" w14:textId="621B9163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Restated Insight:</w:t>
      </w:r>
      <w:r w:rsidR="00FB5366" w:rsidRPr="00FB5366">
        <w:t xml:space="preserve"> </w:t>
      </w:r>
      <w:r w:rsidR="00FB5366" w:rsidRPr="00FB5366">
        <w:rPr>
          <w:rFonts w:ascii="Arial" w:hAnsi="Arial" w:cs="Arial"/>
          <w:color w:val="000000" w:themeColor="text1"/>
        </w:rPr>
        <w:t xml:space="preserve">High credit utilization (above 75%) coupled with a high DTI ratio is the most significant precursor to missed payments in the </w:t>
      </w:r>
      <w:proofErr w:type="spellStart"/>
      <w:r w:rsidR="00FB5366" w:rsidRPr="00FB5366">
        <w:rPr>
          <w:rFonts w:ascii="Arial" w:hAnsi="Arial" w:cs="Arial"/>
          <w:color w:val="000000" w:themeColor="text1"/>
        </w:rPr>
        <w:t>Geldium</w:t>
      </w:r>
      <w:proofErr w:type="spellEnd"/>
      <w:r w:rsidR="00FB5366" w:rsidRPr="00FB5366">
        <w:rPr>
          <w:rFonts w:ascii="Arial" w:hAnsi="Arial" w:cs="Arial"/>
          <w:color w:val="000000" w:themeColor="text1"/>
        </w:rPr>
        <w:t xml:space="preserve"> portfolio.</w:t>
      </w:r>
    </w:p>
    <w:p w14:paraId="7B9326A5" w14:textId="07564923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Proposed Recommendation:</w:t>
      </w:r>
      <w:r w:rsidR="00FB5366" w:rsidRPr="00FB5366">
        <w:t xml:space="preserve"> </w:t>
      </w:r>
      <w:r w:rsidR="00FB5366" w:rsidRPr="00FB5366">
        <w:rPr>
          <w:rFonts w:ascii="Arial" w:hAnsi="Arial" w:cs="Arial"/>
          <w:color w:val="000000" w:themeColor="text1"/>
        </w:rPr>
        <w:t>Launch the "Proactive Financial Health Nudge" Program.</w:t>
      </w:r>
    </w:p>
    <w:p w14:paraId="573E860B" w14:textId="57854AF7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Specific:</w:t>
      </w:r>
      <w:r w:rsidR="00FB5366">
        <w:rPr>
          <w:rFonts w:ascii="Arial" w:hAnsi="Arial" w:cs="Arial"/>
          <w:color w:val="000000" w:themeColor="text1"/>
        </w:rPr>
        <w:t xml:space="preserve"> </w:t>
      </w:r>
      <w:r w:rsidR="00FB5366" w:rsidRPr="00FB5366">
        <w:rPr>
          <w:rFonts w:ascii="Arial" w:hAnsi="Arial" w:cs="Arial"/>
          <w:color w:val="000000" w:themeColor="text1"/>
        </w:rPr>
        <w:t>Implement automated AI-triggered WhatsApp and Mobile App notifications for users whose utilization hits 75%.</w:t>
      </w:r>
    </w:p>
    <w:p w14:paraId="14A948D0" w14:textId="39F03C26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lastRenderedPageBreak/>
        <w:t xml:space="preserve">  Measurable:</w:t>
      </w:r>
      <w:r w:rsidR="00FB5366">
        <w:rPr>
          <w:rFonts w:ascii="Arial" w:hAnsi="Arial" w:cs="Arial"/>
          <w:color w:val="000000" w:themeColor="text1"/>
        </w:rPr>
        <w:t xml:space="preserve"> </w:t>
      </w:r>
      <w:r w:rsidR="00FB5366" w:rsidRPr="00FB5366">
        <w:rPr>
          <w:rFonts w:ascii="Arial" w:hAnsi="Arial" w:cs="Arial"/>
          <w:color w:val="000000" w:themeColor="text1"/>
        </w:rPr>
        <w:t>Target a 15% reduction in new 30-day delinquency entries within the pilot group.</w:t>
      </w:r>
    </w:p>
    <w:p w14:paraId="3D5B0DDB" w14:textId="495FD2FE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Actionable:</w:t>
      </w:r>
      <w:r w:rsidR="00FB5366">
        <w:rPr>
          <w:rFonts w:ascii="Arial" w:hAnsi="Arial" w:cs="Arial"/>
          <w:color w:val="000000" w:themeColor="text1"/>
        </w:rPr>
        <w:t xml:space="preserve"> </w:t>
      </w:r>
      <w:r w:rsidR="00FB5366" w:rsidRPr="00FB5366">
        <w:rPr>
          <w:rFonts w:ascii="Arial" w:hAnsi="Arial" w:cs="Arial"/>
          <w:color w:val="000000" w:themeColor="text1"/>
        </w:rPr>
        <w:t>Deploy via existing digital communication channels based on daily transactional data refreshes.</w:t>
      </w:r>
    </w:p>
    <w:p w14:paraId="692F7089" w14:textId="25D680CE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Relevant:</w:t>
      </w:r>
      <w:r w:rsidR="00FB5366">
        <w:rPr>
          <w:rFonts w:ascii="Arial" w:hAnsi="Arial" w:cs="Arial"/>
          <w:color w:val="000000" w:themeColor="text1"/>
        </w:rPr>
        <w:t xml:space="preserve"> </w:t>
      </w:r>
      <w:r w:rsidR="00FB5366" w:rsidRPr="00FB5366">
        <w:rPr>
          <w:rFonts w:ascii="Arial" w:hAnsi="Arial" w:cs="Arial"/>
          <w:color w:val="000000" w:themeColor="text1"/>
        </w:rPr>
        <w:t>Directly addresses the "Utilization Trap" identified as the primary driver of default in our behavioral data analysis.</w:t>
      </w:r>
    </w:p>
    <w:p w14:paraId="5BFD19C6" w14:textId="518E0ADE" w:rsidR="007D72C2" w:rsidRPr="00A537D1" w:rsidRDefault="00A537D1">
      <w:pPr>
        <w:pStyle w:val="ListBullet2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 xml:space="preserve">  Time-bound:</w:t>
      </w:r>
      <w:r w:rsidR="00FB5366" w:rsidRPr="00FB5366">
        <w:t xml:space="preserve"> </w:t>
      </w:r>
      <w:r w:rsidR="00FB5366" w:rsidRPr="00FB5366">
        <w:rPr>
          <w:rFonts w:ascii="Arial" w:hAnsi="Arial" w:cs="Arial"/>
          <w:color w:val="000000" w:themeColor="text1"/>
        </w:rPr>
        <w:t>A 90-day pilot launch in the Los Angeles and Houston regions, followed by a national rollout.</w:t>
      </w:r>
    </w:p>
    <w:p w14:paraId="17D2B140" w14:textId="6A7A335F" w:rsidR="007D72C2" w:rsidRPr="00A537D1" w:rsidRDefault="00A537D1">
      <w:pPr>
        <w:pStyle w:val="ListBullet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Justification and Business Rationale:</w:t>
      </w:r>
      <w:r w:rsidR="00FB5366">
        <w:rPr>
          <w:rFonts w:ascii="Arial" w:hAnsi="Arial" w:cs="Arial"/>
          <w:color w:val="000000" w:themeColor="text1"/>
        </w:rPr>
        <w:t xml:space="preserve"> </w:t>
      </w:r>
      <w:r w:rsidR="00FB5366" w:rsidRPr="00FB5366">
        <w:rPr>
          <w:rFonts w:ascii="Arial" w:hAnsi="Arial" w:cs="Arial"/>
          <w:color w:val="000000" w:themeColor="text1"/>
        </w:rPr>
        <w:t xml:space="preserve">Moving from reactive to proactive collections reduces the high cost of debt recovery. By preventing accounts from reaching the 90-day NPA (Non-Performing Asset) status, </w:t>
      </w:r>
      <w:proofErr w:type="spellStart"/>
      <w:r w:rsidR="00FB5366" w:rsidRPr="00FB5366">
        <w:rPr>
          <w:rFonts w:ascii="Arial" w:hAnsi="Arial" w:cs="Arial"/>
          <w:color w:val="000000" w:themeColor="text1"/>
        </w:rPr>
        <w:t>Geldium</w:t>
      </w:r>
      <w:proofErr w:type="spellEnd"/>
      <w:r w:rsidR="00FB5366" w:rsidRPr="00FB5366">
        <w:rPr>
          <w:rFonts w:ascii="Arial" w:hAnsi="Arial" w:cs="Arial"/>
          <w:color w:val="000000" w:themeColor="text1"/>
        </w:rPr>
        <w:t xml:space="preserve"> reduces the amount of capital it must legally set aside for "bad debt," directly improving the company's bottom line.</w:t>
      </w:r>
    </w:p>
    <w:p w14:paraId="08E6A272" w14:textId="77777777" w:rsidR="007D72C2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399E36B0" w14:textId="77777777" w:rsidR="00FB5366" w:rsidRPr="00FB5366" w:rsidRDefault="00FB5366" w:rsidP="00FB5366"/>
    <w:p w14:paraId="6F98F448" w14:textId="77777777" w:rsidR="00FB5366" w:rsidRPr="00FB5366" w:rsidRDefault="00FB5366" w:rsidP="00FB5366">
      <w:pPr>
        <w:rPr>
          <w:rFonts w:ascii="Arial" w:hAnsi="Arial" w:cs="Arial"/>
          <w:color w:val="000000" w:themeColor="text1"/>
          <w:lang w:val="en-IN"/>
        </w:rPr>
      </w:pPr>
      <w:r w:rsidRPr="00FB5366">
        <w:rPr>
          <w:rFonts w:ascii="Arial" w:hAnsi="Arial" w:cs="Arial"/>
          <w:b/>
          <w:bCs/>
          <w:color w:val="000000" w:themeColor="text1"/>
          <w:lang w:val="en-IN"/>
        </w:rPr>
        <w:t>Fairness:</w:t>
      </w:r>
      <w:r w:rsidRPr="00FB5366">
        <w:rPr>
          <w:rFonts w:ascii="Arial" w:hAnsi="Arial" w:cs="Arial"/>
          <w:color w:val="000000" w:themeColor="text1"/>
          <w:lang w:val="en-IN"/>
        </w:rPr>
        <w:t xml:space="preserve"> We audited the model for geographic and age bias. For example, we ensured that the "Student" segment is not penalized simply for their age, but is assessed on their individual repayment </w:t>
      </w:r>
      <w:proofErr w:type="spellStart"/>
      <w:r w:rsidRPr="00FB5366">
        <w:rPr>
          <w:rFonts w:ascii="Arial" w:hAnsi="Arial" w:cs="Arial"/>
          <w:color w:val="000000" w:themeColor="text1"/>
          <w:lang w:val="en-IN"/>
        </w:rPr>
        <w:t>behavior</w:t>
      </w:r>
      <w:proofErr w:type="spellEnd"/>
      <w:r w:rsidRPr="00FB5366">
        <w:rPr>
          <w:rFonts w:ascii="Arial" w:hAnsi="Arial" w:cs="Arial"/>
          <w:color w:val="000000" w:themeColor="text1"/>
          <w:lang w:val="en-IN"/>
        </w:rPr>
        <w:t>. This ensures that younger customers with responsible habits still have access to credit.</w:t>
      </w:r>
    </w:p>
    <w:p w14:paraId="59E072B4" w14:textId="77777777" w:rsidR="00FB5366" w:rsidRPr="00FB5366" w:rsidRDefault="00FB5366" w:rsidP="00FB5366">
      <w:pPr>
        <w:rPr>
          <w:rFonts w:ascii="Arial" w:hAnsi="Arial" w:cs="Arial"/>
          <w:color w:val="000000" w:themeColor="text1"/>
          <w:lang w:val="en-IN"/>
        </w:rPr>
      </w:pPr>
      <w:r w:rsidRPr="00FB5366">
        <w:rPr>
          <w:rFonts w:ascii="Arial" w:hAnsi="Arial" w:cs="Arial"/>
          <w:b/>
          <w:bCs/>
          <w:color w:val="000000" w:themeColor="text1"/>
          <w:lang w:val="en-IN"/>
        </w:rPr>
        <w:t>Explainability:</w:t>
      </w:r>
      <w:r w:rsidRPr="00FB5366">
        <w:rPr>
          <w:rFonts w:ascii="Arial" w:hAnsi="Arial" w:cs="Arial"/>
          <w:color w:val="000000" w:themeColor="text1"/>
          <w:lang w:val="en-IN"/>
        </w:rPr>
        <w:t xml:space="preserve"> By utilizing a transparent </w:t>
      </w:r>
      <w:proofErr w:type="spellStart"/>
      <w:r w:rsidRPr="00FB5366">
        <w:rPr>
          <w:rFonts w:ascii="Arial" w:hAnsi="Arial" w:cs="Arial"/>
          <w:color w:val="000000" w:themeColor="text1"/>
          <w:lang w:val="en-IN"/>
        </w:rPr>
        <w:t>modeling</w:t>
      </w:r>
      <w:proofErr w:type="spellEnd"/>
      <w:r w:rsidRPr="00FB5366">
        <w:rPr>
          <w:rFonts w:ascii="Arial" w:hAnsi="Arial" w:cs="Arial"/>
          <w:color w:val="000000" w:themeColor="text1"/>
          <w:lang w:val="en-IN"/>
        </w:rPr>
        <w:t xml:space="preserve"> approach (Logistic Regression/</w:t>
      </w:r>
      <w:proofErr w:type="spellStart"/>
      <w:r w:rsidRPr="00FB5366">
        <w:rPr>
          <w:rFonts w:ascii="Arial" w:hAnsi="Arial" w:cs="Arial"/>
          <w:color w:val="000000" w:themeColor="text1"/>
          <w:lang w:val="en-IN"/>
        </w:rPr>
        <w:t>XGBoost</w:t>
      </w:r>
      <w:proofErr w:type="spellEnd"/>
      <w:r w:rsidRPr="00FB5366">
        <w:rPr>
          <w:rFonts w:ascii="Arial" w:hAnsi="Arial" w:cs="Arial"/>
          <w:color w:val="000000" w:themeColor="text1"/>
          <w:lang w:val="en-IN"/>
        </w:rPr>
        <w:t xml:space="preserve"> with SHAP), the Collections team can provide customers with specific reasons for any intervention (e.g., </w:t>
      </w:r>
      <w:r w:rsidRPr="00FB5366">
        <w:rPr>
          <w:rFonts w:ascii="Arial" w:hAnsi="Arial" w:cs="Arial"/>
          <w:i/>
          <w:iCs/>
          <w:color w:val="000000" w:themeColor="text1"/>
          <w:lang w:val="en-IN"/>
        </w:rPr>
        <w:t>"Your debt-to-income ratio has reached a critical threshold"</w:t>
      </w:r>
      <w:r w:rsidRPr="00FB5366">
        <w:rPr>
          <w:rFonts w:ascii="Arial" w:hAnsi="Arial" w:cs="Arial"/>
          <w:color w:val="000000" w:themeColor="text1"/>
          <w:lang w:val="en-IN"/>
        </w:rPr>
        <w:t xml:space="preserve">). This ensures </w:t>
      </w:r>
      <w:proofErr w:type="spellStart"/>
      <w:r w:rsidRPr="00FB5366">
        <w:rPr>
          <w:rFonts w:ascii="Arial" w:hAnsi="Arial" w:cs="Arial"/>
          <w:color w:val="000000" w:themeColor="text1"/>
          <w:lang w:val="en-IN"/>
        </w:rPr>
        <w:t>Geldium</w:t>
      </w:r>
      <w:proofErr w:type="spellEnd"/>
      <w:r w:rsidRPr="00FB5366">
        <w:rPr>
          <w:rFonts w:ascii="Arial" w:hAnsi="Arial" w:cs="Arial"/>
          <w:color w:val="000000" w:themeColor="text1"/>
          <w:lang w:val="en-IN"/>
        </w:rPr>
        <w:t xml:space="preserve"> meets "Right to Explanation" regulatory standards.</w:t>
      </w:r>
    </w:p>
    <w:p w14:paraId="129D5536" w14:textId="77777777" w:rsidR="00FB5366" w:rsidRPr="00FB5366" w:rsidRDefault="00FB5366" w:rsidP="00FB5366">
      <w:pPr>
        <w:rPr>
          <w:rFonts w:ascii="Arial" w:hAnsi="Arial" w:cs="Arial"/>
          <w:color w:val="000000" w:themeColor="text1"/>
          <w:lang w:val="en-IN"/>
        </w:rPr>
      </w:pPr>
      <w:r w:rsidRPr="00FB5366">
        <w:rPr>
          <w:rFonts w:ascii="Arial" w:hAnsi="Arial" w:cs="Arial"/>
          <w:b/>
          <w:bCs/>
          <w:color w:val="000000" w:themeColor="text1"/>
          <w:lang w:val="en-IN"/>
        </w:rPr>
        <w:t>Responsible Decision-Making:</w:t>
      </w:r>
      <w:r w:rsidRPr="00FB5366">
        <w:rPr>
          <w:rFonts w:ascii="Arial" w:hAnsi="Arial" w:cs="Arial"/>
          <w:color w:val="000000" w:themeColor="text1"/>
          <w:lang w:val="en-IN"/>
        </w:rPr>
        <w:t xml:space="preserve"> This strategy encourages early financial dialogue and support rather than aggressive debt recovery. It positions </w:t>
      </w:r>
      <w:proofErr w:type="spellStart"/>
      <w:r w:rsidRPr="00FB5366">
        <w:rPr>
          <w:rFonts w:ascii="Arial" w:hAnsi="Arial" w:cs="Arial"/>
          <w:color w:val="000000" w:themeColor="text1"/>
          <w:lang w:val="en-IN"/>
        </w:rPr>
        <w:t>Geldium</w:t>
      </w:r>
      <w:proofErr w:type="spellEnd"/>
      <w:r w:rsidRPr="00FB5366">
        <w:rPr>
          <w:rFonts w:ascii="Arial" w:hAnsi="Arial" w:cs="Arial"/>
          <w:color w:val="000000" w:themeColor="text1"/>
          <w:lang w:val="en-IN"/>
        </w:rPr>
        <w:t xml:space="preserve"> as a partner in the customer’s financial well-being, supporting long-term loyalty and ethical lending practices.</w:t>
      </w:r>
    </w:p>
    <w:p w14:paraId="33EC1793" w14:textId="0177E500" w:rsidR="007D72C2" w:rsidRPr="00A537D1" w:rsidRDefault="007D72C2" w:rsidP="00FB5366">
      <w:pPr>
        <w:rPr>
          <w:rFonts w:ascii="Arial" w:hAnsi="Arial" w:cs="Arial"/>
          <w:color w:val="000000" w:themeColor="text1"/>
        </w:rPr>
      </w:pPr>
    </w:p>
    <w:sectPr w:rsidR="007D72C2" w:rsidRPr="00A53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397F45"/>
    <w:multiLevelType w:val="multilevel"/>
    <w:tmpl w:val="BE70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  <w:num w:numId="10" w16cid:durableId="991448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2C2"/>
    <w:rsid w:val="008237CA"/>
    <w:rsid w:val="009F3FFB"/>
    <w:rsid w:val="00A537D1"/>
    <w:rsid w:val="00AA1D8D"/>
    <w:rsid w:val="00B47730"/>
    <w:rsid w:val="00CB0664"/>
    <w:rsid w:val="00FB5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Nautiyal</cp:lastModifiedBy>
  <cp:revision>3</cp:revision>
  <dcterms:created xsi:type="dcterms:W3CDTF">2013-12-23T23:15:00Z</dcterms:created>
  <dcterms:modified xsi:type="dcterms:W3CDTF">2026-01-05T19:02:00Z</dcterms:modified>
  <cp:category/>
</cp:coreProperties>
</file>