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4E79"/>
          <w:sz w:val="56"/>
          <w:szCs w:val="56"/>
        </w:rPr>
        <w:t xml:space="preserve">Payroll Processing Flow</w:t>
      </w:r>
    </w:p>
    <w:p>
      <w:pPr>
        <w:spacing w:after="80" w:before="0"/>
      </w:pPr>
      <w:r>
        <w:rPr>
          <w:rFonts w:ascii="Arial" w:cs="Arial" w:eastAsia="Arial" w:hAnsi="Arial"/>
          <w:color w:val="595959"/>
          <w:sz w:val="36"/>
          <w:szCs w:val="36"/>
        </w:rPr>
        <w:t xml:space="preserve">Code Review &amp; Gap Analysis</w:t>
      </w:r>
    </w:p>
    <w:p>
      <w:pPr>
        <w:spacing w:after="480" w:before="0"/>
      </w:pPr>
      <w:r>
        <w:rPr>
          <w:rFonts w:ascii="Arial" w:cs="Arial" w:eastAsia="Arial" w:hAnsi="Arial"/>
          <w:color w:val="595959"/>
          <w:sz w:val="22"/>
          <w:szCs w:val="22"/>
        </w:rPr>
        <w:t xml:space="preserve">Reviewed: March 10, 2026  |  Scope: Backend NestJS Services</w:t>
      </w:r>
    </w:p>
    <w:p>
      <w:pPr>
        <w:pBdr>
          <w:bottom w:val="single" w:color="1F4E79" w:sz="8"/>
        </w:pBdr>
      </w:pPr>
      <w:r>
        <w:t xml:space="preserve"/>
      </w:r>
    </w:p>
    <w:p>
      <w:pPr>
        <w:spacing w:after="0" w:before="120"/>
      </w:pPr>
      <w:r>
        <w:t xml:space="preserve"/>
      </w:r>
    </w:p>
    <w:p>
      <w:pPr>
        <w:pStyle w:val="Heading1"/>
        <w:spacing w:after="160" w:before="360"/>
      </w:pPr>
      <w:r>
        <w:rPr>
          <w:rFonts w:ascii="Arial" w:cs="Arial" w:eastAsia="Arial" w:hAnsi="Arial"/>
          <w:b/>
          <w:bCs/>
          <w:color w:val="1F4E79"/>
          <w:sz w:val="32"/>
          <w:szCs w:val="32"/>
        </w:rPr>
        <w:t xml:space="preserve">1. Executive Summary</w:t>
      </w:r>
    </w:p>
    <w:p>
      <w:pPr>
        <w:spacing w:after="80" w:before="80"/>
      </w:pPr>
      <w:r>
        <w:rPr>
          <w:rFonts w:ascii="Arial" w:cs="Arial" w:eastAsia="Arial" w:hAnsi="Arial"/>
          <w:b w:val="false"/>
          <w:bCs w:val="false"/>
          <w:color w:val="000000"/>
          <w:sz w:val="22"/>
          <w:szCs w:val="22"/>
        </w:rPr>
        <w:t xml:space="preserve">A comprehensive review of the PayKey payroll processing pipeline was conducted across the backend NestJS codebase. The review covered the full end-to-end flow: pay period management, draft payroll creation, tax calculation, payroll finalization, payment disbursement (M-Pesa, Bank, Cash), payslip generation, and tax submission.</w:t>
      </w:r>
    </w:p>
    <w:p>
      <w:pPr>
        <w:spacing w:after="0" w:before="120"/>
      </w:pPr>
      <w:r>
        <w:t xml:space="preserve"/>
      </w:r>
    </w:p>
    <w:p>
      <w:pPr>
        <w:spacing w:after="80" w:before="80"/>
      </w:pPr>
      <w:r>
        <w:rPr>
          <w:rFonts w:ascii="Arial" w:cs="Arial" w:eastAsia="Arial" w:hAnsi="Arial"/>
          <w:b w:val="false"/>
          <w:bCs w:val="false"/>
          <w:color w:val="000000"/>
          <w:sz w:val="22"/>
          <w:szCs w:val="22"/>
        </w:rPr>
        <w:t xml:space="preserve">The overall architecture is sound — asynchronous queue-based processing, wallet pre-checks, revert-on-failure logic, and webhook safety nets are all in place. However, 13 functional issues were identified, 3 of which are critical and could result in financial errors or stuck payroll states.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C00000"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CRITICAL</w:t>
            </w:r>
          </w:p>
        </w:tc>
        <w:tc>
          <w:tcPr>
            <w:tcW w:type="dxa" w:w="3120"/>
            <w:tcBorders>
              <w:top w:val="single" w:color="BFBFBF" w:sz="4"/>
              <w:left w:val="single" w:color="BFBFBF" w:sz="4"/>
              <w:bottom w:val="single" w:color="BFBFBF" w:sz="4"/>
              <w:right w:val="single" w:color="BFBFBF" w:sz="4"/>
            </w:tcBorders>
            <w:shd w:fill="C55A11"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HIGH</w:t>
            </w:r>
          </w:p>
        </w:tc>
        <w:tc>
          <w:tcPr>
            <w:tcW w:type="dxa" w:w="3120"/>
            <w:tcBorders>
              <w:top w:val="single" w:color="BFBFBF" w:sz="4"/>
              <w:left w:val="single" w:color="BFBFBF" w:sz="4"/>
              <w:bottom w:val="single" w:color="BFBFBF" w:sz="4"/>
              <w:right w:val="single" w:color="BFBFBF" w:sz="4"/>
            </w:tcBorders>
            <w:shd w:fill="538135"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MEDIUM</w:t>
            </w:r>
          </w:p>
        </w:tc>
      </w:tr>
      <w:tr>
        <w:tc>
          <w:tcPr>
            <w:tcW w:type="dxa" w:w="312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jc w:val="center"/>
            </w:pPr>
            <w:r>
              <w:rPr>
                <w:rFonts w:ascii="Arial" w:cs="Arial" w:eastAsia="Arial" w:hAnsi="Arial"/>
                <w:b/>
                <w:bCs/>
                <w:color w:val="C00000"/>
                <w:sz w:val="26"/>
                <w:szCs w:val="26"/>
              </w:rPr>
              <w:t xml:space="preserve">3 Issues</w:t>
            </w:r>
          </w:p>
        </w:tc>
        <w:tc>
          <w:tcPr>
            <w:tcW w:type="dxa" w:w="312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jc w:val="center"/>
            </w:pPr>
            <w:r>
              <w:rPr>
                <w:rFonts w:ascii="Arial" w:cs="Arial" w:eastAsia="Arial" w:hAnsi="Arial"/>
                <w:b/>
                <w:bCs/>
                <w:color w:val="C55A11"/>
                <w:sz w:val="26"/>
                <w:szCs w:val="26"/>
              </w:rPr>
              <w:t xml:space="preserve">5 Issues</w:t>
            </w:r>
          </w:p>
        </w:tc>
        <w:tc>
          <w:tcPr>
            <w:tcW w:type="dxa" w:w="312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jc w:val="center"/>
            </w:pPr>
            <w:r>
              <w:rPr>
                <w:rFonts w:ascii="Arial" w:cs="Arial" w:eastAsia="Arial" w:hAnsi="Arial"/>
                <w:b/>
                <w:bCs/>
                <w:color w:val="375623"/>
                <w:sz w:val="26"/>
                <w:szCs w:val="26"/>
              </w:rPr>
              <w:t xml:space="preserve">5 Issues</w:t>
            </w:r>
          </w:p>
        </w:tc>
      </w:tr>
    </w:tbl>
    <w:p>
      <w:pPr>
        <w:spacing w:after="0" w:before="120"/>
      </w:pPr>
      <w:r>
        <w:t xml:space="preserve"/>
      </w:r>
    </w:p>
    <w:p>
      <w:pPr>
        <w:pStyle w:val="Heading1"/>
        <w:spacing w:after="160" w:before="360"/>
      </w:pPr>
      <w:r>
        <w:rPr>
          <w:rFonts w:ascii="Arial" w:cs="Arial" w:eastAsia="Arial" w:hAnsi="Arial"/>
          <w:b/>
          <w:bCs/>
          <w:color w:val="1F4E79"/>
          <w:sz w:val="32"/>
          <w:szCs w:val="32"/>
        </w:rPr>
        <w:t xml:space="preserve">2. Payroll Processing Flow Overview</w:t>
      </w:r>
    </w:p>
    <w:p>
      <w:pPr>
        <w:spacing w:after="80" w:before="80"/>
      </w:pPr>
      <w:r>
        <w:rPr>
          <w:rFonts w:ascii="Arial" w:cs="Arial" w:eastAsia="Arial" w:hAnsi="Arial"/>
          <w:b w:val="false"/>
          <w:bCs w:val="false"/>
          <w:color w:val="000000"/>
          <w:sz w:val="22"/>
          <w:szCs w:val="22"/>
        </w:rPr>
        <w:t xml:space="preserve">The payroll pipeline follows this sequence: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FBFBF" w:sz="4"/>
              <w:left w:val="single" w:color="BFBFBF" w:sz="4"/>
              <w:bottom w:val="single" w:color="BFBFBF" w:sz="4"/>
              <w:right w:val="single" w:color="BFBFBF" w:sz="4"/>
            </w:tcBorders>
            <w:shd w:fill="D6E4F0" w:val="clear"/>
            <w:tcMar>
              <w:top w:type="dxa" w:w="60"/>
              <w:left w:type="dxa" w:w="100"/>
              <w:bottom w:type="dxa" w:w="60"/>
              <w:right w:type="dxa" w:w="100"/>
            </w:tcMar>
            <w:vAlign w:val="center"/>
          </w:tcPr>
          <w:p>
            <w:pPr>
              <w:jc w:val="center"/>
            </w:pPr>
            <w:r>
              <w:rPr>
                <w:rFonts w:ascii="Arial" w:cs="Arial" w:eastAsia="Arial" w:hAnsi="Arial"/>
                <w:b/>
                <w:bCs/>
                <w:color w:val="1F4E79"/>
                <w:sz w:val="20"/>
                <w:szCs w:val="20"/>
              </w:rPr>
              <w:t xml:space="preserve">1</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Employer creates a Pay Period (DRAFT → ACTIVE status)</w:t>
            </w:r>
          </w:p>
        </w:tc>
      </w:tr>
      <w:tr>
        <w:tc>
          <w:tcPr>
            <w:tcW w:type="dxa" w:w="800"/>
            <w:tcBorders>
              <w:top w:val="single" w:color="BFBFBF" w:sz="4"/>
              <w:left w:val="single" w:color="BFBFBF" w:sz="4"/>
              <w:bottom w:val="single" w:color="BFBFBF" w:sz="4"/>
              <w:right w:val="single" w:color="BFBFBF" w:sz="4"/>
            </w:tcBorders>
            <w:shd w:fill="D6E4F0" w:val="clear"/>
            <w:tcMar>
              <w:top w:type="dxa" w:w="60"/>
              <w:left w:type="dxa" w:w="100"/>
              <w:bottom w:type="dxa" w:w="60"/>
              <w:right w:type="dxa" w:w="100"/>
            </w:tcMar>
            <w:vAlign w:val="center"/>
          </w:tcPr>
          <w:p>
            <w:pPr>
              <w:jc w:val="center"/>
            </w:pPr>
            <w:r>
              <w:rPr>
                <w:rFonts w:ascii="Arial" w:cs="Arial" w:eastAsia="Arial" w:hAnsi="Arial"/>
                <w:b/>
                <w:bCs/>
                <w:color w:val="1F4E79"/>
                <w:sz w:val="20"/>
                <w:szCs w:val="20"/>
              </w:rPr>
              <w:t xml:space="preserve">2</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calculatePayrollForUser / calculatePayrollBatch computes gross, tax, and net per worker using TaxesService (PAYE, NSSF, SHIF, Housing Levy)</w:t>
            </w:r>
          </w:p>
        </w:tc>
      </w:tr>
      <w:tr>
        <w:tc>
          <w:tcPr>
            <w:tcW w:type="dxa" w:w="800"/>
            <w:tcBorders>
              <w:top w:val="single" w:color="BFBFBF" w:sz="4"/>
              <w:left w:val="single" w:color="BFBFBF" w:sz="4"/>
              <w:bottom w:val="single" w:color="BFBFBF" w:sz="4"/>
              <w:right w:val="single" w:color="BFBFBF" w:sz="4"/>
            </w:tcBorders>
            <w:shd w:fill="D6E4F0" w:val="clear"/>
            <w:tcMar>
              <w:top w:type="dxa" w:w="60"/>
              <w:left w:type="dxa" w:w="100"/>
              <w:bottom w:type="dxa" w:w="60"/>
              <w:right w:type="dxa" w:w="100"/>
            </w:tcMar>
            <w:vAlign w:val="center"/>
          </w:tcPr>
          <w:p>
            <w:pPr>
              <w:jc w:val="center"/>
            </w:pPr>
            <w:r>
              <w:rPr>
                <w:rFonts w:ascii="Arial" w:cs="Arial" w:eastAsia="Arial" w:hAnsi="Arial"/>
                <w:b/>
                <w:bCs/>
                <w:color w:val="1F4E79"/>
                <w:sz w:val="20"/>
                <w:szCs w:val="20"/>
              </w:rPr>
              <w:t xml:space="preserve">3</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saveDraftPayroll saves PayrollRecord entities with status=DRAFT, linked to the Pay Period</w:t>
            </w:r>
          </w:p>
        </w:tc>
      </w:tr>
      <w:tr>
        <w:tc>
          <w:tcPr>
            <w:tcW w:type="dxa" w:w="800"/>
            <w:tcBorders>
              <w:top w:val="single" w:color="BFBFBF" w:sz="4"/>
              <w:left w:val="single" w:color="BFBFBF" w:sz="4"/>
              <w:bottom w:val="single" w:color="BFBFBF" w:sz="4"/>
              <w:right w:val="single" w:color="BFBFBF" w:sz="4"/>
            </w:tcBorders>
            <w:shd w:fill="D6E4F0" w:val="clear"/>
            <w:tcMar>
              <w:top w:type="dxa" w:w="60"/>
              <w:left w:type="dxa" w:w="100"/>
              <w:bottom w:type="dxa" w:w="60"/>
              <w:right w:type="dxa" w:w="100"/>
            </w:tcMar>
            <w:vAlign w:val="center"/>
          </w:tcPr>
          <w:p>
            <w:pPr>
              <w:jc w:val="center"/>
            </w:pPr>
            <w:r>
              <w:rPr>
                <w:rFonts w:ascii="Arial" w:cs="Arial" w:eastAsia="Arial" w:hAnsi="Arial"/>
                <w:b/>
                <w:bCs/>
                <w:color w:val="1F4E79"/>
                <w:sz w:val="20"/>
                <w:szCs w:val="20"/>
              </w:rPr>
              <w:t xml:space="preserve">4</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Employer reviews/edits draft items (updateDraftPayrollItem), optionally recalculates</w:t>
            </w:r>
          </w:p>
        </w:tc>
      </w:tr>
      <w:tr>
        <w:tc>
          <w:tcPr>
            <w:tcW w:type="dxa" w:w="800"/>
            <w:tcBorders>
              <w:top w:val="single" w:color="BFBFBF" w:sz="4"/>
              <w:left w:val="single" w:color="BFBFBF" w:sz="4"/>
              <w:bottom w:val="single" w:color="BFBFBF" w:sz="4"/>
              <w:right w:val="single" w:color="BFBFBF" w:sz="4"/>
            </w:tcBorders>
            <w:shd w:fill="D6E4F0" w:val="clear"/>
            <w:tcMar>
              <w:top w:type="dxa" w:w="60"/>
              <w:left w:type="dxa" w:w="100"/>
              <w:bottom w:type="dxa" w:w="60"/>
              <w:right w:type="dxa" w:w="100"/>
            </w:tcMar>
            <w:vAlign w:val="center"/>
          </w:tcPr>
          <w:p>
            <w:pPr>
              <w:jc w:val="center"/>
            </w:pPr>
            <w:r>
              <w:rPr>
                <w:rFonts w:ascii="Arial" w:cs="Arial" w:eastAsia="Arial" w:hAnsi="Arial"/>
                <w:b/>
                <w:bCs/>
                <w:color w:val="1F4E79"/>
                <w:sz w:val="20"/>
                <w:szCs w:val="20"/>
              </w:rPr>
              <w:t xml:space="preserve">5</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verifyFundsForPeriod checks wallet balance against total net pay + estimated fees</w:t>
            </w:r>
          </w:p>
        </w:tc>
      </w:tr>
      <w:tr>
        <w:tc>
          <w:tcPr>
            <w:tcW w:type="dxa" w:w="800"/>
            <w:tcBorders>
              <w:top w:val="single" w:color="BFBFBF" w:sz="4"/>
              <w:left w:val="single" w:color="BFBFBF" w:sz="4"/>
              <w:bottom w:val="single" w:color="BFBFBF" w:sz="4"/>
              <w:right w:val="single" w:color="BFBFBF" w:sz="4"/>
            </w:tcBorders>
            <w:shd w:fill="D6E4F0" w:val="clear"/>
            <w:tcMar>
              <w:top w:type="dxa" w:w="60"/>
              <w:left w:type="dxa" w:w="100"/>
              <w:bottom w:type="dxa" w:w="60"/>
              <w:right w:type="dxa" w:w="100"/>
            </w:tcMar>
            <w:vAlign w:val="center"/>
          </w:tcPr>
          <w:p>
            <w:pPr>
              <w:jc w:val="center"/>
            </w:pPr>
            <w:r>
              <w:rPr>
                <w:rFonts w:ascii="Arial" w:cs="Arial" w:eastAsia="Arial" w:hAnsi="Arial"/>
                <w:b/>
                <w:bCs/>
                <w:color w:val="1F4E79"/>
                <w:sz w:val="20"/>
                <w:szCs w:val="20"/>
              </w:rPr>
              <w:t xml:space="preserve">6</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finalizePayroll queues a BullMQ job ('finalize-payroll'), sets PayPeriod to PROCESSING</w:t>
            </w:r>
          </w:p>
        </w:tc>
      </w:tr>
      <w:tr>
        <w:tc>
          <w:tcPr>
            <w:tcW w:type="dxa" w:w="800"/>
            <w:tcBorders>
              <w:top w:val="single" w:color="BFBFBF" w:sz="4"/>
              <w:left w:val="single" w:color="BFBFBF" w:sz="4"/>
              <w:bottom w:val="single" w:color="BFBFBF" w:sz="4"/>
              <w:right w:val="single" w:color="BFBFBF" w:sz="4"/>
            </w:tcBorders>
            <w:shd w:fill="D6E4F0" w:val="clear"/>
            <w:tcMar>
              <w:top w:type="dxa" w:w="60"/>
              <w:left w:type="dxa" w:w="100"/>
              <w:bottom w:type="dxa" w:w="60"/>
              <w:right w:type="dxa" w:w="100"/>
            </w:tcMar>
            <w:vAlign w:val="center"/>
          </w:tcPr>
          <w:p>
            <w:pPr>
              <w:jc w:val="center"/>
            </w:pPr>
            <w:r>
              <w:rPr>
                <w:rFonts w:ascii="Arial" w:cs="Arial" w:eastAsia="Arial" w:hAnsi="Arial"/>
                <w:b/>
                <w:bCs/>
                <w:color w:val="1F4E79"/>
                <w:sz w:val="20"/>
                <w:szCs w:val="20"/>
              </w:rPr>
              <w:t xml:space="preserve">7</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PayrollProcessor.handlePayrollFinalization executes payrollService.executePayrollFinalization</w:t>
            </w:r>
          </w:p>
        </w:tc>
      </w:tr>
      <w:tr>
        <w:tc>
          <w:tcPr>
            <w:tcW w:type="dxa" w:w="800"/>
            <w:tcBorders>
              <w:top w:val="single" w:color="BFBFBF" w:sz="4"/>
              <w:left w:val="single" w:color="BFBFBF" w:sz="4"/>
              <w:bottom w:val="single" w:color="BFBFBF" w:sz="4"/>
              <w:right w:val="single" w:color="BFBFBF" w:sz="4"/>
            </w:tcBorders>
            <w:shd w:fill="D6E4F0" w:val="clear"/>
            <w:tcMar>
              <w:top w:type="dxa" w:w="60"/>
              <w:left w:type="dxa" w:w="100"/>
              <w:bottom w:type="dxa" w:w="60"/>
              <w:right w:type="dxa" w:w="100"/>
            </w:tcMar>
            <w:vAlign w:val="center"/>
          </w:tcPr>
          <w:p>
            <w:pPr>
              <w:jc w:val="center"/>
            </w:pPr>
            <w:r>
              <w:rPr>
                <w:rFonts w:ascii="Arial" w:cs="Arial" w:eastAsia="Arial" w:hAnsi="Arial"/>
                <w:b/>
                <w:bCs/>
                <w:color w:val="1F4E79"/>
                <w:sz w:val="20"/>
                <w:szCs w:val="20"/>
              </w:rPr>
              <w:t xml:space="preserve">8</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executePayrollFinalization: marks records FINALIZED, calls PayrollPaymentService.processPayouts</w:t>
            </w:r>
          </w:p>
        </w:tc>
      </w:tr>
      <w:tr>
        <w:tc>
          <w:tcPr>
            <w:tcW w:type="dxa" w:w="800"/>
            <w:tcBorders>
              <w:top w:val="single" w:color="BFBFBF" w:sz="4"/>
              <w:left w:val="single" w:color="BFBFBF" w:sz="4"/>
              <w:bottom w:val="single" w:color="BFBFBF" w:sz="4"/>
              <w:right w:val="single" w:color="BFBFBF" w:sz="4"/>
            </w:tcBorders>
            <w:shd w:fill="D6E4F0" w:val="clear"/>
            <w:tcMar>
              <w:top w:type="dxa" w:w="60"/>
              <w:left w:type="dxa" w:w="100"/>
              <w:bottom w:type="dxa" w:w="60"/>
              <w:right w:type="dxa" w:w="100"/>
            </w:tcMar>
            <w:vAlign w:val="center"/>
          </w:tcPr>
          <w:p>
            <w:pPr>
              <w:jc w:val="center"/>
            </w:pPr>
            <w:r>
              <w:rPr>
                <w:rFonts w:ascii="Arial" w:cs="Arial" w:eastAsia="Arial" w:hAnsi="Arial"/>
                <w:b/>
                <w:bCs/>
                <w:color w:val="1F4E79"/>
                <w:sz w:val="20"/>
                <w:szCs w:val="20"/>
              </w:rPr>
              <w:t xml:space="preserve">9</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processPayouts splits workers into M-Pesa / Bank / Cash batches and processes each</w:t>
            </w:r>
          </w:p>
        </w:tc>
      </w:tr>
      <w:tr>
        <w:tc>
          <w:tcPr>
            <w:tcW w:type="dxa" w:w="800"/>
            <w:tcBorders>
              <w:top w:val="single" w:color="BFBFBF" w:sz="4"/>
              <w:left w:val="single" w:color="BFBFBF" w:sz="4"/>
              <w:bottom w:val="single" w:color="BFBFBF" w:sz="4"/>
              <w:right w:val="single" w:color="BFBFBF" w:sz="4"/>
            </w:tcBorders>
            <w:shd w:fill="D6E4F0" w:val="clear"/>
            <w:tcMar>
              <w:top w:type="dxa" w:w="60"/>
              <w:left w:type="dxa" w:w="100"/>
              <w:bottom w:type="dxa" w:w="60"/>
              <w:right w:type="dxa" w:w="100"/>
            </w:tcMar>
            <w:vAlign w:val="center"/>
          </w:tcPr>
          <w:p>
            <w:pPr>
              <w:jc w:val="center"/>
            </w:pPr>
            <w:r>
              <w:rPr>
                <w:rFonts w:ascii="Arial" w:cs="Arial" w:eastAsia="Arial" w:hAnsi="Arial"/>
                <w:b/>
                <w:bCs/>
                <w:color w:val="1F4E79"/>
                <w:sz w:val="20"/>
                <w:szCs w:val="20"/>
              </w:rPr>
              <w:t xml:space="preserve">10</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For M-Pesa: deducts wallet balance, sends B2C batch to IntaSend, schedules status check job</w:t>
            </w:r>
          </w:p>
        </w:tc>
      </w:tr>
      <w:tr>
        <w:tc>
          <w:tcPr>
            <w:tcW w:type="dxa" w:w="800"/>
            <w:tcBorders>
              <w:top w:val="single" w:color="BFBFBF" w:sz="4"/>
              <w:left w:val="single" w:color="BFBFBF" w:sz="4"/>
              <w:bottom w:val="single" w:color="BFBFBF" w:sz="4"/>
              <w:right w:val="single" w:color="BFBFBF" w:sz="4"/>
            </w:tcBorders>
            <w:shd w:fill="D6E4F0" w:val="clear"/>
            <w:tcMar>
              <w:top w:type="dxa" w:w="60"/>
              <w:left w:type="dxa" w:w="100"/>
              <w:bottom w:type="dxa" w:w="60"/>
              <w:right w:type="dxa" w:w="100"/>
            </w:tcMar>
            <w:vAlign w:val="center"/>
          </w:tcPr>
          <w:p>
            <w:pPr>
              <w:jc w:val="center"/>
            </w:pPr>
            <w:r>
              <w:rPr>
                <w:rFonts w:ascii="Arial" w:cs="Arial" w:eastAsia="Arial" w:hAnsi="Arial"/>
                <w:b/>
                <w:bCs/>
                <w:color w:val="1F4E79"/>
                <w:sz w:val="20"/>
                <w:szCs w:val="20"/>
              </w:rPr>
              <w:t xml:space="preserve">11</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For Bank: deducts wallet balance, sends PesaLink batch to IntaSend</w:t>
            </w:r>
          </w:p>
        </w:tc>
      </w:tr>
      <w:tr>
        <w:tc>
          <w:tcPr>
            <w:tcW w:type="dxa" w:w="800"/>
            <w:tcBorders>
              <w:top w:val="single" w:color="BFBFBF" w:sz="4"/>
              <w:left w:val="single" w:color="BFBFBF" w:sz="4"/>
              <w:bottom w:val="single" w:color="BFBFBF" w:sz="4"/>
              <w:right w:val="single" w:color="BFBFBF" w:sz="4"/>
            </w:tcBorders>
            <w:shd w:fill="D6E4F0" w:val="clear"/>
            <w:tcMar>
              <w:top w:type="dxa" w:w="60"/>
              <w:left w:type="dxa" w:w="100"/>
              <w:bottom w:type="dxa" w:w="60"/>
              <w:right w:type="dxa" w:w="100"/>
            </w:tcMar>
            <w:vAlign w:val="center"/>
          </w:tcPr>
          <w:p>
            <w:pPr>
              <w:jc w:val="center"/>
            </w:pPr>
            <w:r>
              <w:rPr>
                <w:rFonts w:ascii="Arial" w:cs="Arial" w:eastAsia="Arial" w:hAnsi="Arial"/>
                <w:b/>
                <w:bCs/>
                <w:color w:val="1F4E79"/>
                <w:sz w:val="20"/>
                <w:szCs w:val="20"/>
              </w:rPr>
              <w:t xml:space="preserve">12</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For Cash: creates audit transaction, marks as paid immediately (manual disbursement)</w:t>
            </w:r>
          </w:p>
        </w:tc>
      </w:tr>
      <w:tr>
        <w:tc>
          <w:tcPr>
            <w:tcW w:type="dxa" w:w="800"/>
            <w:tcBorders>
              <w:top w:val="single" w:color="BFBFBF" w:sz="4"/>
              <w:left w:val="single" w:color="BFBFBF" w:sz="4"/>
              <w:bottom w:val="single" w:color="BFBFBF" w:sz="4"/>
              <w:right w:val="single" w:color="BFBFBF" w:sz="4"/>
            </w:tcBorders>
            <w:shd w:fill="D6E4F0" w:val="clear"/>
            <w:tcMar>
              <w:top w:type="dxa" w:w="60"/>
              <w:left w:type="dxa" w:w="100"/>
              <w:bottom w:type="dxa" w:w="60"/>
              <w:right w:type="dxa" w:w="100"/>
            </w:tcMar>
            <w:vAlign w:val="center"/>
          </w:tcPr>
          <w:p>
            <w:pPr>
              <w:jc w:val="center"/>
            </w:pPr>
            <w:r>
              <w:rPr>
                <w:rFonts w:ascii="Arial" w:cs="Arial" w:eastAsia="Arial" w:hAnsi="Arial"/>
                <w:b/>
                <w:bCs/>
                <w:color w:val="1F4E79"/>
                <w:sz w:val="20"/>
                <w:szCs w:val="20"/>
              </w:rPr>
              <w:t xml:space="preserve">13</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If any payments fail: reverts failed records to DRAFT, reverts PayPeriod to ACTIVE</w:t>
            </w:r>
          </w:p>
        </w:tc>
      </w:tr>
      <w:tr>
        <w:tc>
          <w:tcPr>
            <w:tcW w:type="dxa" w:w="800"/>
            <w:tcBorders>
              <w:top w:val="single" w:color="BFBFBF" w:sz="4"/>
              <w:left w:val="single" w:color="BFBFBF" w:sz="4"/>
              <w:bottom w:val="single" w:color="BFBFBF" w:sz="4"/>
              <w:right w:val="single" w:color="BFBFBF" w:sz="4"/>
            </w:tcBorders>
            <w:shd w:fill="D6E4F0" w:val="clear"/>
            <w:tcMar>
              <w:top w:type="dxa" w:w="60"/>
              <w:left w:type="dxa" w:w="100"/>
              <w:bottom w:type="dxa" w:w="60"/>
              <w:right w:type="dxa" w:w="100"/>
            </w:tcMar>
            <w:vAlign w:val="center"/>
          </w:tcPr>
          <w:p>
            <w:pPr>
              <w:jc w:val="center"/>
            </w:pPr>
            <w:r>
              <w:rPr>
                <w:rFonts w:ascii="Arial" w:cs="Arial" w:eastAsia="Arial" w:hAnsi="Arial"/>
                <w:b/>
                <w:bCs/>
                <w:color w:val="1F4E79"/>
                <w:sz w:val="20"/>
                <w:szCs w:val="20"/>
              </w:rPr>
              <w:t xml:space="preserve">14</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generatePayslipsBatch creates PDF payslips for all finalized workers</w:t>
            </w:r>
          </w:p>
        </w:tc>
      </w:tr>
      <w:tr>
        <w:tc>
          <w:tcPr>
            <w:tcW w:type="dxa" w:w="800"/>
            <w:tcBorders>
              <w:top w:val="single" w:color="BFBFBF" w:sz="4"/>
              <w:left w:val="single" w:color="BFBFBF" w:sz="4"/>
              <w:bottom w:val="single" w:color="BFBFBF" w:sz="4"/>
              <w:right w:val="single" w:color="BFBFBF" w:sz="4"/>
            </w:tcBorders>
            <w:shd w:fill="D6E4F0" w:val="clear"/>
            <w:tcMar>
              <w:top w:type="dxa" w:w="60"/>
              <w:left w:type="dxa" w:w="100"/>
              <w:bottom w:type="dxa" w:w="60"/>
              <w:right w:type="dxa" w:w="100"/>
            </w:tcMar>
            <w:vAlign w:val="center"/>
          </w:tcPr>
          <w:p>
            <w:pPr>
              <w:jc w:val="center"/>
            </w:pPr>
            <w:r>
              <w:rPr>
                <w:rFonts w:ascii="Arial" w:cs="Arial" w:eastAsia="Arial" w:hAnsi="Arial"/>
                <w:b/>
                <w:bCs/>
                <w:color w:val="1F4E79"/>
                <w:sz w:val="20"/>
                <w:szCs w:val="20"/>
              </w:rPr>
              <w:t xml:space="preserve">15</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generateTaxSubmission creates/updates TaxSubmission record for the period</w:t>
            </w:r>
          </w:p>
        </w:tc>
      </w:tr>
      <w:tr>
        <w:tc>
          <w:tcPr>
            <w:tcW w:type="dxa" w:w="800"/>
            <w:tcBorders>
              <w:top w:val="single" w:color="BFBFBF" w:sz="4"/>
              <w:left w:val="single" w:color="BFBFBF" w:sz="4"/>
              <w:bottom w:val="single" w:color="BFBFBF" w:sz="4"/>
              <w:right w:val="single" w:color="BFBFBF" w:sz="4"/>
            </w:tcBorders>
            <w:shd w:fill="D6E4F0" w:val="clear"/>
            <w:tcMar>
              <w:top w:type="dxa" w:w="60"/>
              <w:left w:type="dxa" w:w="100"/>
              <w:bottom w:type="dxa" w:w="60"/>
              <w:right w:type="dxa" w:w="100"/>
            </w:tcMar>
            <w:vAlign w:val="center"/>
          </w:tcPr>
          <w:p>
            <w:pPr>
              <w:jc w:val="center"/>
            </w:pPr>
            <w:r>
              <w:rPr>
                <w:rFonts w:ascii="Arial" w:cs="Arial" w:eastAsia="Arial" w:hAnsi="Arial"/>
                <w:b/>
                <w:bCs/>
                <w:color w:val="1F4E79"/>
                <w:sz w:val="20"/>
                <w:szCs w:val="20"/>
              </w:rPr>
              <w:t xml:space="preserve">16</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PayPeriod status set to COMPLETED if no remaining DRAFT records</w:t>
            </w:r>
          </w:p>
        </w:tc>
      </w:tr>
      <w:tr>
        <w:tc>
          <w:tcPr>
            <w:tcW w:type="dxa" w:w="800"/>
            <w:tcBorders>
              <w:top w:val="single" w:color="BFBFBF" w:sz="4"/>
              <w:left w:val="single" w:color="BFBFBF" w:sz="4"/>
              <w:bottom w:val="single" w:color="BFBFBF" w:sz="4"/>
              <w:right w:val="single" w:color="BFBFBF" w:sz="4"/>
            </w:tcBorders>
            <w:shd w:fill="D6E4F0" w:val="clear"/>
            <w:tcMar>
              <w:top w:type="dxa" w:w="60"/>
              <w:left w:type="dxa" w:w="100"/>
              <w:bottom w:type="dxa" w:w="60"/>
              <w:right w:type="dxa" w:w="100"/>
            </w:tcMar>
            <w:vAlign w:val="center"/>
          </w:tcPr>
          <w:p>
            <w:pPr>
              <w:jc w:val="center"/>
            </w:pPr>
            <w:r>
              <w:rPr>
                <w:rFonts w:ascii="Arial" w:cs="Arial" w:eastAsia="Arial" w:hAnsi="Arial"/>
                <w:b/>
                <w:bCs/>
                <w:color w:val="1F4E79"/>
                <w:sz w:val="20"/>
                <w:szCs w:val="20"/>
              </w:rPr>
              <w:t xml:space="preserve">17</w:t>
            </w:r>
          </w:p>
        </w:tc>
        <w:tc>
          <w:tcPr>
            <w:tcW w:type="dxa" w:w="85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Safety net: check-payout-status job polls IntaSend if webhook hasn't updated records</w:t>
            </w:r>
          </w:p>
        </w:tc>
      </w:tr>
    </w:tbl>
    <w:p>
      <w:pPr>
        <w:spacing w:after="0" w:before="120"/>
      </w:pPr>
      <w:r>
        <w:t xml:space="preserve"/>
      </w:r>
    </w:p>
    <w:p>
      <w:pPr>
        <w:pStyle w:val="Heading1"/>
        <w:spacing w:after="160" w:before="360"/>
      </w:pPr>
      <w:r>
        <w:rPr>
          <w:rFonts w:ascii="Arial" w:cs="Arial" w:eastAsia="Arial" w:hAnsi="Arial"/>
          <w:b/>
          <w:bCs/>
          <w:color w:val="1F4E79"/>
          <w:sz w:val="32"/>
          <w:szCs w:val="32"/>
        </w:rPr>
        <w:t xml:space="preserve">3. Critical Issues</w:t>
      </w:r>
    </w:p>
    <w:p>
      <w:pPr>
        <w:spacing w:after="80" w:before="80"/>
      </w:pPr>
      <w:r>
        <w:rPr>
          <w:rFonts w:ascii="Arial" w:cs="Arial" w:eastAsia="Arial" w:hAnsi="Arial"/>
          <w:b w:val="false"/>
          <w:bCs w:val="false"/>
          <w:color w:val="000000"/>
          <w:sz w:val="22"/>
          <w:szCs w:val="22"/>
        </w:rPr>
        <w:t xml:space="preserve">These issues must be addressed as they can cause incorrect financial outcomes or permanently broken payroll states.</w:t>
      </w:r>
    </w:p>
    <w:p>
      <w:pPr>
        <w:spacing w:after="0" w:before="120"/>
      </w:pPr>
      <w:r>
        <w:t xml:space="preserve"/>
      </w:r>
    </w:p>
    <w:p>
      <w:pPr>
        <w:spacing w:after="80" w:before="200"/>
      </w:pPr>
      <w:r>
        <w:rPr>
          <w:rFonts w:ascii="Arial" w:cs="Arial" w:eastAsia="Arial" w:hAnsi="Arial"/>
          <w:b/>
          <w:bCs/>
          <w:color w:val="595959"/>
          <w:sz w:val="24"/>
          <w:szCs w:val="24"/>
        </w:rPr>
        <w:t xml:space="preserve">Issue C1: Race Condition on Wallet Balance Check &amp; Deduction (Non-Atomic)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2"/>
                <w:szCs w:val="22"/>
              </w:rPr>
              <w:t xml:space="preserve">CRITICAL</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Location: payroll-payment.service.ts → processMobileBatch() &amp; processBankBatch()</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The wallet balance check and the wallet decrement are two separate, non-atomic database operations. If two payroll runs execute simultaneously for the same employer (e.g., a duplicate API call or a race), both could pass the balance check before either deducts — resulting in the wallet being overdrafted.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Employer wallet could go negative. Funds could be sent out that the employer does not actually have. This is a direct financial risk.</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Recommended Fix</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Wrap the balance check and the decrement in a single database transaction using TypeORM's transaction manager, or use an optimistic lock / conditional UPDATE with a WHERE clause: UPDATE users SET walletBalance = walletBalance - X WHERE id = ? AND walletBalance &gt;= X and check the affected rows count.</w:t>
            </w:r>
          </w:p>
        </w:tc>
      </w:tr>
    </w:tbl>
    <w:p>
      <w:pPr>
        <w:spacing w:after="0" w:before="120"/>
      </w:pPr>
      <w:r>
        <w:t xml:space="preserve"/>
      </w:r>
    </w:p>
    <w:p>
      <w:pPr>
        <w:spacing w:after="80" w:before="200"/>
      </w:pPr>
      <w:r>
        <w:rPr>
          <w:rFonts w:ascii="Arial" w:cs="Arial" w:eastAsia="Arial" w:hAnsi="Arial"/>
          <w:b/>
          <w:bCs/>
          <w:color w:val="595959"/>
          <w:sz w:val="24"/>
          <w:szCs w:val="24"/>
        </w:rPr>
        <w:t xml:space="preserve">Issue C2: forEach(async) Fire-and-Forget in Bank Batch Error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2"/>
                <w:szCs w:val="22"/>
              </w:rPr>
              <w:t xml:space="preserve">CRITICAL</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Location: payroll-payment.service.ts → processBankBatch(), lines ~663 and ~688</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 the bank batch error handler, records.forEach(async (r) =&gt; { ... }) is used to save payroll records and build results. The forEach callback creates Promises that are never awaited. If any database save fails inside the loop, the error is silently swallowed, and results are returned as if the update succeeded. Note: the mobile batch correctly uses a for...of loop, making this an inconsistency.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Bank payment records may not be correctly marked as 'failed' or 'manual_check' after a payout error. Employers could see incorrect payment statuses. Failures in saving DB records are entirely invisible.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Recommended Fix</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Replace both instances of records.forEach(async (r) =&gt; { ... }) in processBankBatch with for...of loops (matching the pattern already used in processMobileBatch), so all database operations are properly awaited.</w:t>
            </w:r>
          </w:p>
        </w:tc>
      </w:tr>
    </w:tbl>
    <w:p>
      <w:pPr>
        <w:spacing w:after="0" w:before="120"/>
      </w:pPr>
      <w:r>
        <w:t xml:space="preserve"/>
      </w:r>
    </w:p>
    <w:p>
      <w:pPr>
        <w:spacing w:after="80" w:before="200"/>
      </w:pPr>
      <w:r>
        <w:rPr>
          <w:rFonts w:ascii="Arial" w:cs="Arial" w:eastAsia="Arial" w:hAnsi="Arial"/>
          <w:b/>
          <w:bCs/>
          <w:color w:val="595959"/>
          <w:sz w:val="24"/>
          <w:szCs w:val="24"/>
        </w:rPr>
        <w:t xml:space="preserve">Issue C3: calculateSingleWorkerPayroll Does Not Apply Leave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22"/>
                <w:szCs w:val="22"/>
              </w:rPr>
              <w:t xml:space="preserve">CRITICAL</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Location: payroll.service.ts → calculateSingleWorkerPayroll()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The single-worker calculation method computes tax directly from worker.salaryGross, completely bypassing calculateAdjustedSalary(). This means approved unpaid leave, hourly time entries, and paid leave adjustments are not factored into the result. The batch calculation (calculateWorkerPayroll) correctly calls calculateAdjustedSalary — creating an inconsistency between single and batch paths.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The single-worker payroll preview on the frontend will show incorrect figures if the worker has approved leave. When the POST /payroll/calculate/:workerId endpoint is used, the result will not reflect actual earned pay.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Recommended Fix</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Call calculateAdjustedSalary inside calculateSingleWorkerPayroll (passing the current period), and use adjustedGross instead of worker.salaryGross for the tax and net pay calculation.</w:t>
            </w:r>
          </w:p>
        </w:tc>
      </w:tr>
    </w:tbl>
    <w:p>
      <w:pPr>
        <w:spacing w:after="0" w:before="120"/>
      </w:pPr>
      <w:r>
        <w:t xml:space="preserve"/>
      </w:r>
    </w:p>
    <w:p>
      <w:pPr>
        <w:pStyle w:val="Heading1"/>
        <w:spacing w:after="160" w:before="360"/>
      </w:pPr>
      <w:r>
        <w:rPr>
          <w:rFonts w:ascii="Arial" w:cs="Arial" w:eastAsia="Arial" w:hAnsi="Arial"/>
          <w:b/>
          <w:bCs/>
          <w:color w:val="1F4E79"/>
          <w:sz w:val="32"/>
          <w:szCs w:val="32"/>
        </w:rPr>
        <w:t xml:space="preserve">4. High Severity Issues</w:t>
      </w:r>
    </w:p>
    <w:p>
      <w:pPr>
        <w:spacing w:after="0" w:before="120"/>
      </w:pPr>
      <w:r>
        <w:t xml:space="preserve"/>
      </w:r>
    </w:p>
    <w:p>
      <w:pPr>
        <w:spacing w:after="80" w:before="200"/>
      </w:pPr>
      <w:r>
        <w:rPr>
          <w:rFonts w:ascii="Arial" w:cs="Arial" w:eastAsia="Arial" w:hAnsi="Arial"/>
          <w:b/>
          <w:bCs/>
          <w:color w:val="595959"/>
          <w:sz w:val="24"/>
          <w:szCs w:val="24"/>
        </w:rPr>
        <w:t xml:space="preserve">Issue H1: Bank Batch Has No Safety Net Status Check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22"/>
                <w:szCs w:val="22"/>
              </w:rPr>
              <w:t xml:space="preserve">HIGH</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Location: payroll-payment.service.ts → processBankBatch()</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After initiating an M-Pesa (mobile) batch, a check-payout-status BullMQ job is scheduled to poll IntaSend if the webhook hasn't arrived. Bank batches (processBankBatch) do NOT schedule an equivalent safety net job. Bank transfers are typically slower and webhooks may be delayed significantly.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Bank payments could remain stuck in 'processing' status indefinitely if the IntaSend webhook fails to fire. Employers would have no automated recovery path and would need to manually intervene for every bank payment.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Recommended Fix</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Add the same check-payout-status job scheduling logic at the end of processBankBatch (after the successful IntaSend response), mirroring what processMobileBatch already does.</w:t>
            </w:r>
          </w:p>
        </w:tc>
      </w:tr>
    </w:tbl>
    <w:p>
      <w:pPr>
        <w:spacing w:after="0" w:before="120"/>
      </w:pPr>
      <w:r>
        <w:t xml:space="preserve"/>
      </w:r>
    </w:p>
    <w:p>
      <w:pPr>
        <w:spacing w:after="80" w:before="200"/>
      </w:pPr>
      <w:r>
        <w:rPr>
          <w:rFonts w:ascii="Arial" w:cs="Arial" w:eastAsia="Arial" w:hAnsi="Arial"/>
          <w:b/>
          <w:bCs/>
          <w:color w:val="595959"/>
          <w:sz w:val="24"/>
          <w:szCs w:val="24"/>
        </w:rPr>
        <w:t xml:space="preserve">Issue H2: getMonthlyPayrollSummary is Unimplemented (TODO)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22"/>
                <w:szCs w:val="22"/>
              </w:rPr>
              <w:t xml:space="preserve">HIGH</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Location: taxes.service.ts → getMonthlyPayrollSummary()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The method contains a TODO comment and returns all-zero placeholder values for totalGross, totalPaye, totalNssf, totalShif, and totalHousingLevy. Any feature or downstream service relying on this method will receive incorrect (zero) data.</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Any tax dashboard, reporting feature, or analytics endpoint calling getMonthlyPayrollSummary will display incorrect data. If used for any financial obligations calculation, tax amounts would appear as zero.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Recommended Fix</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Implement the aggregation by querying payroll_records filtered by userId, year, and month, summing values from the taxBreakdown JSON column (matching the pattern in generateTaxSubmission).</w:t>
            </w:r>
          </w:p>
        </w:tc>
      </w:tr>
    </w:tbl>
    <w:p>
      <w:pPr>
        <w:spacing w:after="0" w:before="120"/>
      </w:pPr>
      <w:r>
        <w:t xml:space="preserve"/>
      </w:r>
    </w:p>
    <w:p>
      <w:pPr>
        <w:spacing w:after="80" w:before="200"/>
      </w:pPr>
      <w:r>
        <w:rPr>
          <w:rFonts w:ascii="Arial" w:cs="Arial" w:eastAsia="Arial" w:hAnsi="Arial"/>
          <w:b/>
          <w:bCs/>
          <w:color w:val="595959"/>
          <w:sz w:val="24"/>
          <w:szCs w:val="24"/>
        </w:rPr>
        <w:t xml:space="preserve">Issue H3: PayPeriod.process() Reverts All Records to DRAFT When Reopening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22"/>
                <w:szCs w:val="22"/>
              </w:rPr>
              <w:t xml:space="preserve">HIGH</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Location: pay-periods.service.ts → process() method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When a COMPLETED or CLOSED pay period is 'reopened' via the process() method, ALL payroll records for that period are reverted to DRAFT status unconditionally — including records that were already marked as paid and where payments were successfully disbursed.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Reopening a completed period could allow already-paid workers to be processed and paid again. This is a potential double-payment risk.</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Recommended Fix</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Before reverting records, filter out records with paymentStatus of 'paid' or 'processing'. Only revert genuinely unprocessed or failed records to DRAFT. Add a warning or confirmation check for this operation.</w:t>
            </w:r>
          </w:p>
        </w:tc>
      </w:tr>
    </w:tbl>
    <w:p>
      <w:pPr>
        <w:spacing w:after="0" w:before="120"/>
      </w:pPr>
      <w:r>
        <w:t xml:space="preserve"/>
      </w:r>
    </w:p>
    <w:p>
      <w:pPr>
        <w:spacing w:after="80" w:before="200"/>
      </w:pPr>
      <w:r>
        <w:rPr>
          <w:rFonts w:ascii="Arial" w:cs="Arial" w:eastAsia="Arial" w:hAnsi="Arial"/>
          <w:b/>
          <w:bCs/>
          <w:color w:val="595959"/>
          <w:sz w:val="24"/>
          <w:szCs w:val="24"/>
        </w:rPr>
        <w:t xml:space="preserve">Issue H4: processPayroll Endpoint Ignores Pay Period Dates in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22"/>
                <w:szCs w:val="22"/>
              </w:rPr>
              <w:t xml:space="preserve">HIGH</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Location: payroll.controller.ts → processPayroll(), calls payrollService.calculatePayrollForUser()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The POST /payroll/process endpoint calls calculatePayrollForUser() which internally uses getCurrentPeriod() — always the current calendar month — regardless of the actual pay period's startDate/endDate. This means leave adjustments and hourly time entries are always calculated for the current month, not the pay period being processed.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Off-cycle payroll periods, or periods that span different months, will have incorrect leave/time calculations. Hourly workers' actual hours for the target period will not be used.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Recommended Fix</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Pass the payPeriodId into the calculation chain so that calculateAdjustedSalary() and time entry lookups use the period's actual date range. The saveDraftPayroll path already handles this correctly and can serve as the model.</w:t>
            </w:r>
          </w:p>
        </w:tc>
      </w:tr>
    </w:tbl>
    <w:p>
      <w:pPr>
        <w:spacing w:after="0" w:before="120"/>
      </w:pPr>
      <w:r>
        <w:t xml:space="preserve"/>
      </w:r>
    </w:p>
    <w:p>
      <w:pPr>
        <w:spacing w:after="80" w:before="200"/>
      </w:pPr>
      <w:r>
        <w:rPr>
          <w:rFonts w:ascii="Arial" w:cs="Arial" w:eastAsia="Arial" w:hAnsi="Arial"/>
          <w:b/>
          <w:bCs/>
          <w:color w:val="595959"/>
          <w:sz w:val="24"/>
          <w:szCs w:val="24"/>
        </w:rPr>
        <w:t xml:space="preserve">Issue H5: generateBankFileContent is Defined but Never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22"/>
                <w:szCs w:val="22"/>
              </w:rPr>
              <w:t xml:space="preserve">HIGH</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Location: payroll-payment.service.ts → generateBankFileContent() (line 790) and processPayouts() return type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 helper method generateBankFileContent() generates a CSV bank file listing all bank-payment workers. The processPayouts() return type includes a bankFile property. However, the method is never called anywhere — the bankFile property is never populated in the actual implementation.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Bank payment file generation is silently broken. If downstream systems, accountants, or the frontend expect a bank file to be returned with bank batch results, they will receive nothing (undefined).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Recommended Fix</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Either remove the unused method and bankFile from the return type, or call generateBankFileContent() in processBankBatch() and include the result in the return value as intended.</w:t>
            </w:r>
          </w:p>
        </w:tc>
      </w:tr>
    </w:tbl>
    <w:p>
      <w:pPr>
        <w:spacing w:after="0" w:before="120"/>
      </w:pPr>
      <w:r>
        <w:t xml:space="preserve"/>
      </w:r>
    </w:p>
    <w:p>
      <w:pPr>
        <w:pStyle w:val="Heading1"/>
        <w:spacing w:after="160" w:before="360"/>
      </w:pPr>
      <w:r>
        <w:rPr>
          <w:rFonts w:ascii="Arial" w:cs="Arial" w:eastAsia="Arial" w:hAnsi="Arial"/>
          <w:b/>
          <w:bCs/>
          <w:color w:val="1F4E79"/>
          <w:sz w:val="32"/>
          <w:szCs w:val="32"/>
        </w:rPr>
        <w:t xml:space="preserve">5. Medium Severity Issues</w:t>
      </w:r>
    </w:p>
    <w:p>
      <w:pPr>
        <w:spacing w:after="0" w:before="120"/>
      </w:pPr>
      <w:r>
        <w:t xml:space="preserve"/>
      </w:r>
    </w:p>
    <w:p>
      <w:pPr>
        <w:spacing w:after="80" w:before="200"/>
      </w:pPr>
      <w:r>
        <w:rPr>
          <w:rFonts w:ascii="Arial" w:cs="Arial" w:eastAsia="Arial" w:hAnsi="Arial"/>
          <w:b/>
          <w:bCs/>
          <w:color w:val="595959"/>
          <w:sz w:val="24"/>
          <w:szCs w:val="24"/>
        </w:rPr>
        <w:t xml:space="preserve">Issue M1: NSSF Tier 2 Calculation Uses Hardcoded Threshold (8000)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2"/>
                <w:szCs w:val="22"/>
              </w:rPr>
              <w:t xml:space="preserve">MEDIUM</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Location: taxes.service.ts → calculateNSSF()</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The Tier 2 NSSF calculation uses a hardcoded salary threshold of 8000 (grossSalary &gt; 8000) even when a tier2Config is loaded from the database. The Tier 1 limit could theoretically be a different value in the DB. If the DB stores a different Tier 1 ceiling, the Tier 2 calculation would still start from 8000, creating a gap or overlap.</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If Tier 1 limits are ever updated in the database, the Tier 2 NSSF calculation will remain anchored to the old hardcoded value. Tax calculations would be wrong for all affected salary ranges.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Recommended Fix</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Replace the hardcoded 8000 with tier1Config.configuration.tiers[0].salaryTo (with a fallback to 8000 for safety). The calculateGrossFromNet method already does this correctly and can serve as the reference.</w:t>
            </w:r>
          </w:p>
        </w:tc>
      </w:tr>
    </w:tbl>
    <w:p>
      <w:pPr>
        <w:spacing w:after="0" w:before="120"/>
      </w:pPr>
      <w:r>
        <w:t xml:space="preserve"/>
      </w:r>
    </w:p>
    <w:p>
      <w:pPr>
        <w:spacing w:after="80" w:before="200"/>
      </w:pPr>
      <w:r>
        <w:rPr>
          <w:rFonts w:ascii="Arial" w:cs="Arial" w:eastAsia="Arial" w:hAnsi="Arial"/>
          <w:b/>
          <w:bCs/>
          <w:color w:val="595959"/>
          <w:sz w:val="24"/>
          <w:szCs w:val="24"/>
        </w:rPr>
        <w:t xml:space="preserve">Issue M2: Tax Config Fallback Throws NotFoundException and Halts Payroll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2"/>
                <w:szCs w:val="22"/>
              </w:rPr>
              <w:t xml:space="preserve">MEDIUM</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Location: taxes.service.ts → calculatePAYEFromConfig() → falls back to getTaxTable()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When the PAYE config is missing from TaxConfigService, the code falls back to getTaxTable(date). If that tax table is also missing, getTaxTable throws a NotFoundException. This exception is not caught in calculateTaxes() or calculateWorkerPayroll(), so it would bubble up and cause the entire payroll run to fail.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If a PAYE tax configuration is absent from the database, every worker's payroll calculation throws an uncaught exception. The entire payroll for that pay period fails.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Recommended Fix</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Add error handling in calculateTaxes() or calculateWorkerPayroll() specifically for the case where no tax configuration exists. Either surface a clear error to the employer before the run begins, or add a hard fallback using well-known Kenya KRA rates.</w:t>
            </w:r>
          </w:p>
        </w:tc>
      </w:tr>
    </w:tbl>
    <w:p>
      <w:pPr>
        <w:spacing w:after="0" w:before="120"/>
      </w:pPr>
      <w:r>
        <w:t xml:space="preserve"/>
      </w:r>
    </w:p>
    <w:p>
      <w:pPr>
        <w:spacing w:after="80" w:before="200"/>
      </w:pPr>
      <w:r>
        <w:rPr>
          <w:rFonts w:ascii="Arial" w:cs="Arial" w:eastAsia="Arial" w:hAnsi="Arial"/>
          <w:b/>
          <w:bCs/>
          <w:color w:val="595959"/>
          <w:sz w:val="24"/>
          <w:szCs w:val="24"/>
        </w:rPr>
        <w:t xml:space="preserve">Issue M3: Tax Submission Failure is Silently Swallowed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2"/>
                <w:szCs w:val="22"/>
              </w:rPr>
              <w:t xml:space="preserve">MEDIUM</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Location: payroll.service.ts → generateTaxSubmissionSafe()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Tax submission generation errors are caught in a try/catch and only logged — the employer is never notified if this step fails. The payroll run still returns 'COMPLETED' status even if tax records were not generated.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Employers may not be aware that their tax submission record was not created. This could cause compliance issues — the tax obligations data would be absent, and deadlines would not show up in the tax dashboard.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Recommended Fix</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Include a taxSubmissionStatus field in the finalization response indicating whether the tax submission succeeded or failed. Consider returning a warning/partial status if tax submission fails so the employer can trigger it manually via POST /payroll/regenerate-documents/:payPeriodId.</w:t>
            </w:r>
          </w:p>
        </w:tc>
      </w:tr>
    </w:tbl>
    <w:p>
      <w:pPr>
        <w:spacing w:after="0" w:before="120"/>
      </w:pPr>
      <w:r>
        <w:t xml:space="preserve"/>
      </w:r>
    </w:p>
    <w:p>
      <w:pPr>
        <w:spacing w:after="80" w:before="200"/>
      </w:pPr>
      <w:r>
        <w:rPr>
          <w:rFonts w:ascii="Arial" w:cs="Arial" w:eastAsia="Arial" w:hAnsi="Arial"/>
          <w:b/>
          <w:bCs/>
          <w:color w:val="595959"/>
          <w:sz w:val="24"/>
          <w:szCs w:val="24"/>
        </w:rPr>
        <w:t xml:space="preserve">Issue M4: downloadSelectedPayslips Loads All User Records Into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2"/>
                <w:szCs w:val="22"/>
              </w:rPr>
              <w:t xml:space="preserve">MEDIUM</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Location: payroll.controller.ts → downloadSelectedPayslips()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The endpoint fetches ALL payroll records for the user without applying a WHERE id IN (...) filter at the database level. It then filters the result array in JavaScript. For employers with large payroll histories, this loads all records unnecessarily.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As payroll history grows, this endpoint will become progressively slower and more memory-intensive. It could cause timeouts or memory exhaustion for large datasets.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Recommended Fix</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Add where: { id: In(body.payrollRecordIds), userId: req.user.userId } to the repository.find() call to push the filtering to the database.</w:t>
            </w:r>
          </w:p>
        </w:tc>
      </w:tr>
    </w:tbl>
    <w:p>
      <w:pPr>
        <w:spacing w:after="0" w:before="120"/>
      </w:pPr>
      <w:r>
        <w:t xml:space="preserve"/>
      </w:r>
    </w:p>
    <w:p>
      <w:pPr>
        <w:spacing w:after="80" w:before="200"/>
      </w:pPr>
      <w:r>
        <w:rPr>
          <w:rFonts w:ascii="Arial" w:cs="Arial" w:eastAsia="Arial" w:hAnsi="Arial"/>
          <w:b/>
          <w:bCs/>
          <w:color w:val="595959"/>
          <w:sz w:val="24"/>
          <w:szCs w:val="24"/>
        </w:rPr>
        <w:t xml:space="preserve">Issue M5: Dev Environment Bypasses Balance Check But Not Deduction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22"/>
                <w:szCs w:val="22"/>
              </w:rPr>
              <w:t xml:space="preserve">MEDIUM</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Location: payroll.service.ts → verifyFundsForPeriod() and payroll-payment.service.ts → processMobileBatch()</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verifyFundsForPeriod() bypasses the balance check entirely in non-production (isDev = process.env.NODE_ENV !== 'production'), always returning canProceed: true. However, the actual wallet deduction in processMobileBatch is not bypassed — it checks the real balance and will fail with 'Insufficient wallet balance' if the wallet has no funds. The two paths are inconsistent.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Developers testing payroll in non-production environments will pass the funds verification step but then hit a genuine insufficient-funds error when the payment is processed, making the payroll run appear to fail inconsistently.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Recommended Fix</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Either also bypass the balance check in processMobileBatch/processBankBatch in non-production (consistent with verifyFundsForPeriod), or remove the dev bypass entirely and ensure test environments have seeded wallet balances. Consider using the INTASEND_SIMULATE flag to control both checks together.</w:t>
            </w:r>
          </w:p>
        </w:tc>
      </w:tr>
    </w:tbl>
    <w:p>
      <w:pPr>
        <w:spacing w:after="0" w:before="120"/>
      </w:pPr>
      <w:r>
        <w:t xml:space="preserve"/>
      </w:r>
    </w:p>
    <w:p>
      <w:pPr>
        <w:pStyle w:val="Heading1"/>
        <w:spacing w:after="160" w:before="360"/>
      </w:pPr>
      <w:r>
        <w:rPr>
          <w:rFonts w:ascii="Arial" w:cs="Arial" w:eastAsia="Arial" w:hAnsi="Arial"/>
          <w:b/>
          <w:bCs/>
          <w:color w:val="1F4E79"/>
          <w:sz w:val="32"/>
          <w:szCs w:val="32"/>
        </w:rPr>
        <w:t xml:space="preserve">6. What Is Working Correctly</w:t>
      </w:r>
    </w:p>
    <w:p>
      <w:pPr>
        <w:spacing w:after="80" w:before="80"/>
      </w:pPr>
      <w:r>
        <w:rPr>
          <w:rFonts w:ascii="Arial" w:cs="Arial" w:eastAsia="Arial" w:hAnsi="Arial"/>
          <w:b w:val="false"/>
          <w:bCs w:val="false"/>
          <w:color w:val="000000"/>
          <w:sz w:val="22"/>
          <w:szCs w:val="22"/>
        </w:rPr>
        <w:t xml:space="preserve">The following components of the payroll flow are well-implemented:</w:t>
      </w:r>
    </w:p>
    <w:p>
      <w:pPr>
        <w:spacing w:after="0" w:before="12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Asynchronous queue processing via BullMQ prevents double-click finalization and server timeouts.</w:t>
      </w:r>
    </w:p>
    <w:p>
      <w:pPr>
        <w:pStyle w:val="ListParagraph"/>
        <w:numPr>
          <w:ilvl w:val="0"/>
          <w:numId w:val="2"/>
        </w:numPr>
        <w:spacing w:after="40" w:before="40"/>
      </w:pPr>
      <w:r>
        <w:rPr>
          <w:rFonts w:ascii="Arial" w:cs="Arial" w:eastAsia="Arial" w:hAnsi="Arial"/>
          <w:b w:val="false"/>
          <w:bCs w:val="false"/>
          <w:sz w:val="22"/>
          <w:szCs w:val="22"/>
        </w:rPr>
        <w:t xml:space="preserve">PayPeriod status is set to PROCESSING before queuing, preventing duplicate finalization attempts.</w:t>
      </w:r>
    </w:p>
    <w:p>
      <w:pPr>
        <w:pStyle w:val="ListParagraph"/>
        <w:numPr>
          <w:ilvl w:val="0"/>
          <w:numId w:val="2"/>
        </w:numPr>
        <w:spacing w:after="40" w:before="40"/>
      </w:pPr>
      <w:r>
        <w:rPr>
          <w:rFonts w:ascii="Arial" w:cs="Arial" w:eastAsia="Arial" w:hAnsi="Arial"/>
          <w:b w:val="false"/>
          <w:bCs w:val="false"/>
          <w:sz w:val="22"/>
          <w:szCs w:val="22"/>
        </w:rPr>
        <w:t xml:space="preserve">PayrollProcessor.handlePayrollFinalization reverts the PayPeriod to ACTIVE on crash, ensuring no stuck states.</w:t>
      </w:r>
    </w:p>
    <w:p>
      <w:pPr>
        <w:pStyle w:val="ListParagraph"/>
        <w:numPr>
          <w:ilvl w:val="0"/>
          <w:numId w:val="2"/>
        </w:numPr>
        <w:spacing w:after="40" w:before="40"/>
      </w:pPr>
      <w:r>
        <w:rPr>
          <w:rFonts w:ascii="Arial" w:cs="Arial" w:eastAsia="Arial" w:hAnsi="Arial"/>
          <w:b w:val="false"/>
          <w:bCs w:val="false"/>
          <w:sz w:val="22"/>
          <w:szCs w:val="22"/>
        </w:rPr>
        <w:t xml:space="preserve">M-Pesa split payments correctly handle salaries exceeding the KES 250,000 M-Pesa limit.</w:t>
      </w:r>
    </w:p>
    <w:p>
      <w:pPr>
        <w:pStyle w:val="ListParagraph"/>
        <w:numPr>
          <w:ilvl w:val="0"/>
          <w:numId w:val="2"/>
        </w:numPr>
        <w:spacing w:after="40" w:before="40"/>
      </w:pPr>
      <w:r>
        <w:rPr>
          <w:rFonts w:ascii="Arial" w:cs="Arial" w:eastAsia="Arial" w:hAnsi="Arial"/>
          <w:b w:val="false"/>
          <w:bCs w:val="false"/>
          <w:sz w:val="22"/>
          <w:szCs w:val="22"/>
        </w:rPr>
        <w:t xml:space="preserve">The wallet decrement + refund logic correctly distinguishes 4xx (safe to refund) from 5xx/network errors (unsafe to refund), preventing accidental double refunds.</w:t>
      </w:r>
    </w:p>
    <w:p>
      <w:pPr>
        <w:pStyle w:val="ListParagraph"/>
        <w:numPr>
          <w:ilvl w:val="0"/>
          <w:numId w:val="2"/>
        </w:numPr>
        <w:spacing w:after="40" w:before="40"/>
      </w:pPr>
      <w:r>
        <w:rPr>
          <w:rFonts w:ascii="Arial" w:cs="Arial" w:eastAsia="Arial" w:hAnsi="Arial"/>
          <w:b w:val="false"/>
          <w:bCs w:val="false"/>
          <w:sz w:val="22"/>
          <w:szCs w:val="22"/>
        </w:rPr>
        <w:t xml:space="preserve">The check-payout-status safety net job for M-Pesa correctly polls IntaSend and updates records if the webhook hasn't arrived within 10 minutes.</w:t>
      </w:r>
    </w:p>
    <w:p>
      <w:pPr>
        <w:pStyle w:val="ListParagraph"/>
        <w:numPr>
          <w:ilvl w:val="0"/>
          <w:numId w:val="2"/>
        </w:numPr>
        <w:spacing w:after="40" w:before="40"/>
      </w:pPr>
      <w:r>
        <w:rPr>
          <w:rFonts w:ascii="Arial" w:cs="Arial" w:eastAsia="Arial" w:hAnsi="Arial"/>
          <w:b w:val="false"/>
          <w:bCs w:val="false"/>
          <w:sz w:val="22"/>
          <w:szCs w:val="22"/>
        </w:rPr>
        <w:t xml:space="preserve">Terminated/inactive workers are filtered out from finalization even if stale DRAFT records exist.</w:t>
      </w:r>
    </w:p>
    <w:p>
      <w:pPr>
        <w:pStyle w:val="ListParagraph"/>
        <w:numPr>
          <w:ilvl w:val="0"/>
          <w:numId w:val="2"/>
        </w:numPr>
        <w:spacing w:after="40" w:before="40"/>
      </w:pPr>
      <w:r>
        <w:rPr>
          <w:rFonts w:ascii="Arial" w:cs="Arial" w:eastAsia="Arial" w:hAnsi="Arial"/>
          <w:b w:val="false"/>
          <w:bCs w:val="false"/>
          <w:sz w:val="22"/>
          <w:szCs w:val="22"/>
        </w:rPr>
        <w:t xml:space="preserve">Leave calculation correctly handles both hourly and fixed-salary workers with overlapping leave periods.</w:t>
      </w:r>
    </w:p>
    <w:p>
      <w:pPr>
        <w:pStyle w:val="ListParagraph"/>
        <w:numPr>
          <w:ilvl w:val="0"/>
          <w:numId w:val="2"/>
        </w:numPr>
        <w:spacing w:after="40" w:before="40"/>
      </w:pPr>
      <w:r>
        <w:rPr>
          <w:rFonts w:ascii="Arial" w:cs="Arial" w:eastAsia="Arial" w:hAnsi="Arial"/>
          <w:b w:val="false"/>
          <w:bCs w:val="false"/>
          <w:sz w:val="22"/>
          <w:szCs w:val="22"/>
        </w:rPr>
        <w:t xml:space="preserve">Tax calculations (PAYE, NSSF, SHIF, Housing Levy) use the TaxConfigService with database-driven rates, enabling rate changes without code deploys.</w:t>
      </w:r>
    </w:p>
    <w:p>
      <w:pPr>
        <w:pStyle w:val="ListParagraph"/>
        <w:numPr>
          <w:ilvl w:val="0"/>
          <w:numId w:val="2"/>
        </w:numPr>
        <w:spacing w:after="40" w:before="40"/>
      </w:pPr>
      <w:r>
        <w:rPr>
          <w:rFonts w:ascii="Arial" w:cs="Arial" w:eastAsia="Arial" w:hAnsi="Arial"/>
          <w:b w:val="false"/>
          <w:bCs w:val="false"/>
          <w:sz w:val="22"/>
          <w:szCs w:val="22"/>
        </w:rPr>
        <w:t xml:space="preserve">The binary search implementation in calculateGrossFromNet is efficient and correctly fetches tax configs once rather than on each iteration.</w:t>
      </w:r>
    </w:p>
    <w:p>
      <w:pPr>
        <w:pStyle w:val="ListParagraph"/>
        <w:numPr>
          <w:ilvl w:val="0"/>
          <w:numId w:val="2"/>
        </w:numPr>
        <w:spacing w:after="40" w:before="40"/>
      </w:pPr>
      <w:r>
        <w:rPr>
          <w:rFonts w:ascii="Arial" w:cs="Arial" w:eastAsia="Arial" w:hAnsi="Arial"/>
          <w:b w:val="false"/>
          <w:bCs w:val="false"/>
          <w:sz w:val="22"/>
          <w:szCs w:val="22"/>
        </w:rPr>
        <w:t xml:space="preserve">Cash payment auditing creates transaction records for manual disbursements without deducting from the digital wallet.</w:t>
      </w:r>
    </w:p>
    <w:p>
      <w:pPr>
        <w:pStyle w:val="ListParagraph"/>
        <w:numPr>
          <w:ilvl w:val="0"/>
          <w:numId w:val="2"/>
        </w:numPr>
        <w:spacing w:after="40" w:before="40"/>
      </w:pPr>
      <w:r>
        <w:rPr>
          <w:rFonts w:ascii="Arial" w:cs="Arial" w:eastAsia="Arial" w:hAnsi="Arial"/>
          <w:b w:val="false"/>
          <w:bCs w:val="false"/>
          <w:sz w:val="22"/>
          <w:szCs w:val="22"/>
        </w:rPr>
        <w:t xml:space="preserve">Off-cycle pay periods are correctly allowed to overlap with standard periods.</w:t>
      </w:r>
    </w:p>
    <w:p>
      <w:pPr>
        <w:spacing w:after="0" w:before="120"/>
      </w:pPr>
      <w:r>
        <w:t xml:space="preserve"/>
      </w:r>
    </w:p>
    <w:p>
      <w:pPr>
        <w:pStyle w:val="Heading1"/>
        <w:spacing w:after="160" w:before="360"/>
      </w:pPr>
      <w:r>
        <w:rPr>
          <w:rFonts w:ascii="Arial" w:cs="Arial" w:eastAsia="Arial" w:hAnsi="Arial"/>
          <w:b/>
          <w:bCs/>
          <w:color w:val="1F4E79"/>
          <w:sz w:val="32"/>
          <w:szCs w:val="32"/>
        </w:rPr>
        <w:t xml:space="preserve">7. Files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680"/>
            <w:tcBorders>
              <w:top w:val="single" w:color="BFBFBF" w:sz="4"/>
              <w:left w:val="single" w:color="BFBFBF" w:sz="4"/>
              <w:bottom w:val="single" w:color="BFBFBF" w:sz="4"/>
              <w:right w:val="single" w:color="BFBFBF" w:sz="4"/>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urier New" w:cs="Courier New" w:eastAsia="Courier New" w:hAnsi="Courier New"/>
                <w:color w:val="7030A0"/>
                <w:sz w:val="18"/>
                <w:szCs w:val="18"/>
              </w:rPr>
              <w:t xml:space="preserve">payroll.service.ts</w:t>
            </w:r>
          </w:p>
        </w:tc>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Core payroll orchestration, calculation, finalization</w:t>
            </w:r>
          </w:p>
        </w:tc>
      </w:tr>
      <w:tr>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urier New" w:cs="Courier New" w:eastAsia="Courier New" w:hAnsi="Courier New"/>
                <w:color w:val="7030A0"/>
                <w:sz w:val="18"/>
                <w:szCs w:val="18"/>
              </w:rPr>
              <w:t xml:space="preserve">payroll.processor.ts</w:t>
            </w:r>
          </w:p>
        </w:tc>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BullMQ job handler for async finalization</w:t>
            </w:r>
          </w:p>
        </w:tc>
      </w:tr>
      <w:tr>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urier New" w:cs="Courier New" w:eastAsia="Courier New" w:hAnsi="Courier New"/>
                <w:color w:val="7030A0"/>
                <w:sz w:val="18"/>
                <w:szCs w:val="18"/>
              </w:rPr>
              <w:t xml:space="preserve">payroll-payment.service.ts</w:t>
            </w:r>
          </w:p>
        </w:tc>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Payment disbursement (M-Pesa, Bank, Cash)</w:t>
            </w:r>
          </w:p>
        </w:tc>
      </w:tr>
      <w:tr>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urier New" w:cs="Courier New" w:eastAsia="Courier New" w:hAnsi="Courier New"/>
                <w:color w:val="7030A0"/>
                <w:sz w:val="18"/>
                <w:szCs w:val="18"/>
              </w:rPr>
              <w:t xml:space="preserve">taxes.service.ts</w:t>
            </w:r>
          </w:p>
        </w:tc>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Tax computation and submission management</w:t>
            </w:r>
          </w:p>
        </w:tc>
      </w:tr>
      <w:tr>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urier New" w:cs="Courier New" w:eastAsia="Courier New" w:hAnsi="Courier New"/>
                <w:color w:val="7030A0"/>
                <w:sz w:val="18"/>
                <w:szCs w:val="18"/>
              </w:rPr>
              <w:t xml:space="preserve">pay-periods.service.ts</w:t>
            </w:r>
          </w:p>
        </w:tc>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Pay period lifecycle management</w:t>
            </w:r>
          </w:p>
        </w:tc>
      </w:tr>
      <w:tr>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urier New" w:cs="Courier New" w:eastAsia="Courier New" w:hAnsi="Courier New"/>
                <w:color w:val="7030A0"/>
                <w:sz w:val="18"/>
                <w:szCs w:val="18"/>
              </w:rPr>
              <w:t xml:space="preserve">payroll.controller.ts</w:t>
            </w:r>
          </w:p>
        </w:tc>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HTTP API endpoints</w:t>
            </w:r>
          </w:p>
        </w:tc>
      </w:tr>
      <w:tr>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urier New" w:cs="Courier New" w:eastAsia="Courier New" w:hAnsi="Courier New"/>
                <w:color w:val="7030A0"/>
                <w:sz w:val="18"/>
                <w:szCs w:val="18"/>
              </w:rPr>
              <w:t xml:space="preserve">payroll.module.ts</w:t>
            </w:r>
          </w:p>
        </w:tc>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Module wiring and dependency injection</w:t>
            </w:r>
          </w:p>
        </w:tc>
      </w:tr>
      <w:tr>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urier New" w:cs="Courier New" w:eastAsia="Courier New" w:hAnsi="Courier New"/>
                <w:color w:val="7030A0"/>
                <w:sz w:val="18"/>
                <w:szCs w:val="18"/>
              </w:rPr>
              <w:t xml:space="preserve">payslip.service.ts</w:t>
            </w:r>
          </w:p>
        </w:tc>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PDF payslip generation</w:t>
            </w:r>
          </w:p>
        </w:tc>
      </w:tr>
      <w:tr>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urier New" w:cs="Courier New" w:eastAsia="Courier New" w:hAnsi="Courier New"/>
                <w:color w:val="7030A0"/>
                <w:sz w:val="18"/>
                <w:szCs w:val="18"/>
              </w:rPr>
              <w:t xml:space="preserve">intasend.service.ts</w:t>
            </w:r>
          </w:p>
        </w:tc>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IntaSend API integration</w:t>
            </w:r>
          </w:p>
        </w:tc>
      </w:tr>
      <w:tr>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urier New" w:cs="Courier New" w:eastAsia="Courier New" w:hAnsi="Courier New"/>
                <w:color w:val="7030A0"/>
                <w:sz w:val="18"/>
                <w:szCs w:val="18"/>
              </w:rPr>
              <w:t xml:space="preserve">entities/payroll-record.entity.ts</w:t>
            </w:r>
          </w:p>
        </w:tc>
        <w:tc>
          <w:tcPr>
            <w:tcW w:type="dxa" w:w="468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0"/>
                <w:szCs w:val="20"/>
              </w:rPr>
              <w:t xml:space="preserve">PayrollRecord database entity</w:t>
            </w:r>
          </w:p>
        </w:tc>
      </w:tr>
    </w:tbl>
    <w:p>
      <w:pPr>
        <w:spacing w:after="0" w:before="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9360"/>
      </w:tabs>
    </w:pPr>
    <w:r>
      <w:rPr>
        <w:rFonts w:ascii="Arial" w:cs="Arial" w:eastAsia="Arial" w:hAnsi="Arial"/>
        <w:color w:val="595959"/>
        <w:sz w:val="18"/>
        <w:szCs w:val="18"/>
      </w:rPr>
      <w:t xml:space="preserve">Confidential — Internal Use Only</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360"/>
      </w:tabs>
    </w:pPr>
    <w:r>
      <w:rPr>
        <w:rFonts w:ascii="Arial" w:cs="Arial" w:eastAsia="Arial" w:hAnsi="Arial"/>
        <w:color w:val="595959"/>
        <w:sz w:val="18"/>
        <w:szCs w:val="18"/>
      </w:rPr>
      <w:t xml:space="preserve">PayKey Payroll Processing — Code Review Report</w:t>
    </w:r>
    <w:r>
      <w:rPr>
        <w:rFonts w:ascii="Arial" w:cs="Arial" w:eastAsia="Arial" w:hAnsi="Arial"/>
        <w:color w:val="595959"/>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2026-03-10T15:18:27.685Z</dcterms:created>
  <dcterms:modified xsi:type="dcterms:W3CDTF">2026-03-10T15:18:27.686Z</dcterms:modified>
</cp:coreProperties>
</file>

<file path=docProps/custom.xml><?xml version="1.0" encoding="utf-8"?>
<Properties xmlns="http://schemas.openxmlformats.org/officeDocument/2006/custom-properties" xmlns:vt="http://schemas.openxmlformats.org/officeDocument/2006/docPropsVTypes"/>
</file>