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34ABB" w14:textId="77777777" w:rsidR="00CB456A" w:rsidRPr="000D5ADF" w:rsidRDefault="00000000">
      <w:pPr>
        <w:spacing w:after="80"/>
        <w:jc w:val="center"/>
        <w:rPr>
          <w:rFonts w:asciiTheme="minorHAnsi" w:hAnsiTheme="minorHAnsi" w:cs="Times New Roman"/>
          <w:sz w:val="28"/>
          <w:szCs w:val="28"/>
        </w:rPr>
      </w:pPr>
      <w:r w:rsidRPr="000D5ADF">
        <w:rPr>
          <w:rFonts w:asciiTheme="minorHAnsi" w:hAnsiTheme="minorHAnsi" w:cs="Times New Roman"/>
          <w:b/>
          <w:bCs/>
          <w:color w:val="2E4057"/>
          <w:sz w:val="28"/>
          <w:szCs w:val="28"/>
        </w:rPr>
        <w:t>Project Proposal</w:t>
      </w:r>
    </w:p>
    <w:p w14:paraId="1DD6CCF0" w14:textId="77777777" w:rsidR="00CB456A" w:rsidRPr="000D5ADF" w:rsidRDefault="00000000">
      <w:pPr>
        <w:spacing w:after="480"/>
        <w:jc w:val="center"/>
        <w:rPr>
          <w:rFonts w:asciiTheme="minorHAnsi" w:hAnsiTheme="minorHAnsi" w:cs="Times New Roman"/>
          <w:sz w:val="28"/>
          <w:szCs w:val="28"/>
        </w:rPr>
      </w:pPr>
      <w:r w:rsidRPr="000D5ADF">
        <w:rPr>
          <w:rFonts w:asciiTheme="minorHAnsi" w:hAnsiTheme="minorHAnsi" w:cs="Times New Roman"/>
          <w:b/>
          <w:bCs/>
          <w:sz w:val="28"/>
          <w:szCs w:val="28"/>
        </w:rPr>
        <w:t>Comparing Machine Learning and Probabilistic Time-Series Models for Regional Hospital Surge Detection</w:t>
      </w:r>
    </w:p>
    <w:p w14:paraId="5480E755" w14:textId="77777777" w:rsidR="00CB456A" w:rsidRPr="000D5ADF" w:rsidRDefault="00000000">
      <w:pPr>
        <w:pStyle w:val="Heading1"/>
        <w:rPr>
          <w:rFonts w:asciiTheme="minorHAnsi" w:hAnsiTheme="minorHAnsi" w:cs="Times New Roman"/>
          <w:sz w:val="22"/>
          <w:szCs w:val="22"/>
        </w:rPr>
      </w:pPr>
      <w:r w:rsidRPr="000D5ADF">
        <w:rPr>
          <w:rFonts w:asciiTheme="minorHAnsi" w:hAnsiTheme="minorHAnsi" w:cs="Times New Roman"/>
          <w:sz w:val="22"/>
          <w:szCs w:val="22"/>
        </w:rPr>
        <w:t>1. Healthcare Challenge</w:t>
      </w:r>
    </w:p>
    <w:p w14:paraId="7037810A" w14:textId="23D44A73"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Hospital overcrowding is one of the most consequential operational challenges in modern healthcare. When inpatient bed occupancy exceeds safe thresholds, patient outcomes deteriorate significantly</w:t>
      </w:r>
      <w:r w:rsidR="00EF2701">
        <w:rPr>
          <w:rFonts w:asciiTheme="minorHAnsi" w:hAnsiTheme="minorHAnsi" w:cs="Times New Roman"/>
          <w:sz w:val="22"/>
          <w:szCs w:val="22"/>
        </w:rPr>
        <w:t>.</w:t>
      </w:r>
      <w:r w:rsidR="002575E0" w:rsidRPr="000D5ADF">
        <w:rPr>
          <w:rFonts w:asciiTheme="minorHAnsi" w:hAnsiTheme="minorHAnsi" w:cs="Times New Roman"/>
          <w:sz w:val="22"/>
          <w:szCs w:val="22"/>
        </w:rPr>
        <w:t xml:space="preserve"> </w:t>
      </w:r>
      <w:r w:rsidR="00EF2701">
        <w:rPr>
          <w:rFonts w:asciiTheme="minorHAnsi" w:hAnsiTheme="minorHAnsi" w:cs="Times New Roman"/>
          <w:sz w:val="22"/>
          <w:szCs w:val="22"/>
        </w:rPr>
        <w:t>Some of the consequences include, e</w:t>
      </w:r>
      <w:r w:rsidR="00EF2701" w:rsidRPr="000D5ADF">
        <w:rPr>
          <w:rFonts w:asciiTheme="minorHAnsi" w:hAnsiTheme="minorHAnsi" w:cs="Times New Roman"/>
          <w:sz w:val="22"/>
          <w:szCs w:val="22"/>
        </w:rPr>
        <w:t>mergency</w:t>
      </w:r>
      <w:r w:rsidRPr="000D5ADF">
        <w:rPr>
          <w:rFonts w:asciiTheme="minorHAnsi" w:hAnsiTheme="minorHAnsi" w:cs="Times New Roman"/>
          <w:sz w:val="22"/>
          <w:szCs w:val="22"/>
        </w:rPr>
        <w:t xml:space="preserve"> department wait times increas</w:t>
      </w:r>
      <w:r w:rsidR="00EF2701">
        <w:rPr>
          <w:rFonts w:asciiTheme="minorHAnsi" w:hAnsiTheme="minorHAnsi" w:cs="Times New Roman"/>
          <w:sz w:val="22"/>
          <w:szCs w:val="22"/>
        </w:rPr>
        <w:t>ing</w:t>
      </w:r>
      <w:r w:rsidRPr="000D5ADF">
        <w:rPr>
          <w:rFonts w:asciiTheme="minorHAnsi" w:hAnsiTheme="minorHAnsi" w:cs="Times New Roman"/>
          <w:sz w:val="22"/>
          <w:szCs w:val="22"/>
        </w:rPr>
        <w:t xml:space="preserve">, elective procedures </w:t>
      </w:r>
      <w:r w:rsidR="00EF2701">
        <w:rPr>
          <w:rFonts w:asciiTheme="minorHAnsi" w:hAnsiTheme="minorHAnsi" w:cs="Times New Roman"/>
          <w:sz w:val="22"/>
          <w:szCs w:val="22"/>
        </w:rPr>
        <w:t xml:space="preserve">getting </w:t>
      </w:r>
      <w:r w:rsidRPr="000D5ADF">
        <w:rPr>
          <w:rFonts w:asciiTheme="minorHAnsi" w:hAnsiTheme="minorHAnsi" w:cs="Times New Roman"/>
          <w:sz w:val="22"/>
          <w:szCs w:val="22"/>
        </w:rPr>
        <w:t>delayed, and mortality risk ris</w:t>
      </w:r>
      <w:r w:rsidR="00EF2701">
        <w:rPr>
          <w:rFonts w:asciiTheme="minorHAnsi" w:hAnsiTheme="minorHAnsi" w:cs="Times New Roman"/>
          <w:sz w:val="22"/>
          <w:szCs w:val="22"/>
        </w:rPr>
        <w:t xml:space="preserve">ing </w:t>
      </w:r>
      <w:r w:rsidRPr="000D5ADF">
        <w:rPr>
          <w:rFonts w:asciiTheme="minorHAnsi" w:hAnsiTheme="minorHAnsi" w:cs="Times New Roman"/>
          <w:sz w:val="22"/>
          <w:szCs w:val="22"/>
        </w:rPr>
        <w:t>for critically ill patients.</w:t>
      </w:r>
      <w:r w:rsidR="00EF2701">
        <w:rPr>
          <w:rFonts w:asciiTheme="minorHAnsi" w:hAnsiTheme="minorHAnsi" w:cs="Times New Roman"/>
          <w:sz w:val="22"/>
          <w:szCs w:val="22"/>
        </w:rPr>
        <w:t xml:space="preserve"> Furthermore,</w:t>
      </w:r>
      <w:r w:rsidRPr="000D5ADF">
        <w:rPr>
          <w:rFonts w:asciiTheme="minorHAnsi" w:hAnsiTheme="minorHAnsi" w:cs="Times New Roman"/>
          <w:sz w:val="22"/>
          <w:szCs w:val="22"/>
        </w:rPr>
        <w:t xml:space="preserve"> </w:t>
      </w:r>
      <w:r w:rsidR="00EF2701">
        <w:rPr>
          <w:rFonts w:asciiTheme="minorHAnsi" w:hAnsiTheme="minorHAnsi" w:cs="Times New Roman"/>
          <w:sz w:val="22"/>
          <w:szCs w:val="22"/>
        </w:rPr>
        <w:t>r</w:t>
      </w:r>
      <w:r w:rsidRPr="000D5ADF">
        <w:rPr>
          <w:rFonts w:asciiTheme="minorHAnsi" w:hAnsiTheme="minorHAnsi" w:cs="Times New Roman"/>
          <w:sz w:val="22"/>
          <w:szCs w:val="22"/>
        </w:rPr>
        <w:t>espiratory illnesses, including COVID-19, influenza, and Respiratory Syncytial Virus (RSV), are among the primary drivers of seasonal surge events, creating predictable yet operationally difficult periods of extreme capacity strain.</w:t>
      </w:r>
    </w:p>
    <w:p w14:paraId="1C5E62AF" w14:textId="0013EAB3"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Traditional surge forecasting relies on probabilistic time-series models such as SARIMA (Seasonal Autoregressive Integrated Moving Average)</w:t>
      </w:r>
      <w:r w:rsidR="00EF2701">
        <w:rPr>
          <w:rFonts w:asciiTheme="minorHAnsi" w:hAnsiTheme="minorHAnsi" w:cs="Times New Roman"/>
          <w:sz w:val="22"/>
          <w:szCs w:val="22"/>
        </w:rPr>
        <w:t>.</w:t>
      </w:r>
      <w:r w:rsidRPr="000D5ADF">
        <w:rPr>
          <w:rFonts w:asciiTheme="minorHAnsi" w:hAnsiTheme="minorHAnsi" w:cs="Times New Roman"/>
          <w:sz w:val="22"/>
          <w:szCs w:val="22"/>
        </w:rPr>
        <w:t xml:space="preserve"> </w:t>
      </w:r>
      <w:r w:rsidR="00EF2701">
        <w:rPr>
          <w:rFonts w:asciiTheme="minorHAnsi" w:hAnsiTheme="minorHAnsi" w:cs="Times New Roman"/>
          <w:sz w:val="22"/>
          <w:szCs w:val="22"/>
        </w:rPr>
        <w:t>SARIMA</w:t>
      </w:r>
      <w:r w:rsidRPr="000D5ADF">
        <w:rPr>
          <w:rFonts w:asciiTheme="minorHAnsi" w:hAnsiTheme="minorHAnsi" w:cs="Times New Roman"/>
          <w:sz w:val="22"/>
          <w:szCs w:val="22"/>
        </w:rPr>
        <w:t xml:space="preserve"> explicitly model</w:t>
      </w:r>
      <w:r w:rsidR="00EF2701">
        <w:rPr>
          <w:rFonts w:asciiTheme="minorHAnsi" w:hAnsiTheme="minorHAnsi" w:cs="Times New Roman"/>
          <w:sz w:val="22"/>
          <w:szCs w:val="22"/>
        </w:rPr>
        <w:t>s</w:t>
      </w:r>
      <w:r w:rsidRPr="000D5ADF">
        <w:rPr>
          <w:rFonts w:asciiTheme="minorHAnsi" w:hAnsiTheme="minorHAnsi" w:cs="Times New Roman"/>
          <w:sz w:val="22"/>
          <w:szCs w:val="22"/>
        </w:rPr>
        <w:t xml:space="preserve"> the stochastic nature of patient admission patterns. While effective, these models require specialized statistical expertise and are designed to forecast a single continuous time series</w:t>
      </w:r>
      <w:r w:rsidR="00F43A46" w:rsidRPr="000D5ADF">
        <w:rPr>
          <w:rFonts w:asciiTheme="minorHAnsi" w:hAnsiTheme="minorHAnsi" w:cs="Times New Roman"/>
          <w:sz w:val="22"/>
          <w:szCs w:val="22"/>
        </w:rPr>
        <w:t>. T</w:t>
      </w:r>
      <w:r w:rsidRPr="000D5ADF">
        <w:rPr>
          <w:rFonts w:asciiTheme="minorHAnsi" w:hAnsiTheme="minorHAnsi" w:cs="Times New Roman"/>
          <w:sz w:val="22"/>
          <w:szCs w:val="22"/>
        </w:rPr>
        <w:t>hey do not readily incorporate the multi-dimensional disease burden features</w:t>
      </w:r>
      <w:r w:rsidR="00EF2701">
        <w:rPr>
          <w:rFonts w:asciiTheme="minorHAnsi" w:hAnsiTheme="minorHAnsi" w:cs="Times New Roman"/>
          <w:sz w:val="22"/>
          <w:szCs w:val="22"/>
        </w:rPr>
        <w:t xml:space="preserve"> that are</w:t>
      </w:r>
      <w:r w:rsidRPr="000D5ADF">
        <w:rPr>
          <w:rFonts w:asciiTheme="minorHAnsi" w:hAnsiTheme="minorHAnsi" w:cs="Times New Roman"/>
          <w:sz w:val="22"/>
          <w:szCs w:val="22"/>
        </w:rPr>
        <w:t xml:space="preserve"> available in modern hospital surveillance data. </w:t>
      </w:r>
      <w:r w:rsidR="00EF2701">
        <w:rPr>
          <w:rFonts w:asciiTheme="minorHAnsi" w:hAnsiTheme="minorHAnsi" w:cs="Times New Roman"/>
          <w:sz w:val="22"/>
          <w:szCs w:val="22"/>
        </w:rPr>
        <w:t xml:space="preserve">Conversely, </w:t>
      </w:r>
      <w:r w:rsidRPr="000D5ADF">
        <w:rPr>
          <w:rFonts w:asciiTheme="minorHAnsi" w:hAnsiTheme="minorHAnsi" w:cs="Times New Roman"/>
          <w:sz w:val="22"/>
          <w:szCs w:val="22"/>
        </w:rPr>
        <w:t>Machine learning (ML) classifiers, can capture complex nonlinear relationships across many predictors simultaneously, but they do not inherently quantify uncertainty, raising concerns about reliability in high-stakes clinical settings.</w:t>
      </w:r>
    </w:p>
    <w:p w14:paraId="6BFC8566" w14:textId="7D4FC251"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This project will investigate whether ML models can reliably identify regional hospital surge risk from respiratory disease surveillance data without explicitly modeling stochastic processes, or whether probabilistic time-series modeling remains necessary for accurate and clinically safe surge detection. A two-layer evaluation framework will be employed</w:t>
      </w:r>
      <w:r w:rsidR="00F43A46" w:rsidRPr="000D5ADF">
        <w:rPr>
          <w:rFonts w:asciiTheme="minorHAnsi" w:hAnsiTheme="minorHAnsi" w:cs="Times New Roman"/>
          <w:sz w:val="22"/>
          <w:szCs w:val="22"/>
        </w:rPr>
        <w:t xml:space="preserve">, </w:t>
      </w:r>
      <w:r w:rsidRPr="000D5ADF">
        <w:rPr>
          <w:rFonts w:asciiTheme="minorHAnsi" w:hAnsiTheme="minorHAnsi" w:cs="Times New Roman"/>
          <w:sz w:val="22"/>
          <w:szCs w:val="22"/>
        </w:rPr>
        <w:t>comparing models on both continuous occupancy forecasting (regression) and binary surge detection (</w:t>
      </w:r>
      <w:r w:rsidR="00494BAF" w:rsidRPr="000D5ADF">
        <w:rPr>
          <w:rFonts w:asciiTheme="minorHAnsi" w:hAnsiTheme="minorHAnsi" w:cs="Times New Roman"/>
          <w:sz w:val="22"/>
          <w:szCs w:val="22"/>
        </w:rPr>
        <w:t>classification)</w:t>
      </w:r>
      <w:r w:rsidRPr="000D5ADF">
        <w:rPr>
          <w:rFonts w:asciiTheme="minorHAnsi" w:hAnsiTheme="minorHAnsi" w:cs="Times New Roman"/>
          <w:sz w:val="22"/>
          <w:szCs w:val="22"/>
        </w:rPr>
        <w:t xml:space="preserve"> to provide a comprehensive, evidence-based answer to this question.</w:t>
      </w:r>
      <w:r w:rsidR="00EF2701">
        <w:rPr>
          <w:rFonts w:asciiTheme="minorHAnsi" w:hAnsiTheme="minorHAnsi" w:cs="Times New Roman"/>
          <w:sz w:val="22"/>
          <w:szCs w:val="22"/>
        </w:rPr>
        <w:t xml:space="preserve"> A hybrid model will also be deployed, </w:t>
      </w:r>
      <w:r w:rsidR="00EF2701" w:rsidRPr="00EF2701">
        <w:rPr>
          <w:rFonts w:asciiTheme="minorHAnsi" w:hAnsiTheme="minorHAnsi" w:cs="Times New Roman"/>
          <w:sz w:val="22"/>
          <w:szCs w:val="22"/>
        </w:rPr>
        <w:t>combining SARIMA</w:t>
      </w:r>
      <w:r w:rsidR="00EF2701">
        <w:rPr>
          <w:rFonts w:asciiTheme="minorHAnsi" w:hAnsiTheme="minorHAnsi" w:cs="Times New Roman"/>
          <w:sz w:val="22"/>
          <w:szCs w:val="22"/>
        </w:rPr>
        <w:t xml:space="preserve"> </w:t>
      </w:r>
      <w:r w:rsidR="00EF2701" w:rsidRPr="00EF2701">
        <w:rPr>
          <w:rFonts w:asciiTheme="minorHAnsi" w:hAnsiTheme="minorHAnsi" w:cs="Times New Roman"/>
          <w:sz w:val="22"/>
          <w:szCs w:val="22"/>
        </w:rPr>
        <w:t>derived uncertainty estimates with ML feature engineering</w:t>
      </w:r>
      <w:r w:rsidR="00EF2701">
        <w:rPr>
          <w:rFonts w:asciiTheme="minorHAnsi" w:hAnsiTheme="minorHAnsi" w:cs="Times New Roman"/>
          <w:sz w:val="22"/>
          <w:szCs w:val="22"/>
        </w:rPr>
        <w:t xml:space="preserve"> and whether it </w:t>
      </w:r>
      <w:r w:rsidR="00EF2701" w:rsidRPr="00EF2701">
        <w:rPr>
          <w:rFonts w:asciiTheme="minorHAnsi" w:hAnsiTheme="minorHAnsi" w:cs="Times New Roman"/>
          <w:sz w:val="22"/>
          <w:szCs w:val="22"/>
        </w:rPr>
        <w:t>yields superior surge detection over either approach alone</w:t>
      </w:r>
    </w:p>
    <w:p w14:paraId="5196923D" w14:textId="292BDC74" w:rsidR="00CB456A" w:rsidRPr="000D5ADF" w:rsidRDefault="00000000">
      <w:pPr>
        <w:spacing w:before="160" w:after="240"/>
        <w:rPr>
          <w:rFonts w:asciiTheme="minorHAnsi" w:hAnsiTheme="minorHAnsi" w:cs="Times New Roman"/>
          <w:sz w:val="22"/>
          <w:szCs w:val="22"/>
        </w:rPr>
      </w:pPr>
      <w:r w:rsidRPr="000D5ADF">
        <w:rPr>
          <w:rFonts w:asciiTheme="minorHAnsi" w:hAnsiTheme="minorHAnsi" w:cs="Times New Roman"/>
          <w:b/>
          <w:bCs/>
          <w:sz w:val="22"/>
          <w:szCs w:val="22"/>
        </w:rPr>
        <w:t xml:space="preserve">Research Question: </w:t>
      </w:r>
      <w:r w:rsidR="00F43A46" w:rsidRPr="000D5ADF">
        <w:rPr>
          <w:rFonts w:asciiTheme="minorHAnsi" w:hAnsiTheme="minorHAnsi" w:cs="Times New Roman"/>
          <w:i/>
          <w:iCs/>
          <w:sz w:val="22"/>
          <w:szCs w:val="22"/>
        </w:rPr>
        <w:t>Can machine learning models reliably detect regional hospital surge risk from respiratory disease surveillance data without explicitly modeling stochastic processes, or does incorporating probabilistic time-series modeling into a hybrid approach yield superior surge detection?</w:t>
      </w:r>
    </w:p>
    <w:p w14:paraId="1875157D" w14:textId="77777777" w:rsidR="00CB456A" w:rsidRPr="000D5ADF" w:rsidRDefault="00000000">
      <w:pPr>
        <w:pStyle w:val="Heading1"/>
        <w:rPr>
          <w:rFonts w:asciiTheme="minorHAnsi" w:hAnsiTheme="minorHAnsi" w:cs="Times New Roman"/>
          <w:sz w:val="22"/>
          <w:szCs w:val="22"/>
        </w:rPr>
      </w:pPr>
      <w:r w:rsidRPr="000D5ADF">
        <w:rPr>
          <w:rFonts w:asciiTheme="minorHAnsi" w:hAnsiTheme="minorHAnsi" w:cs="Times New Roman"/>
          <w:sz w:val="22"/>
          <w:szCs w:val="22"/>
        </w:rPr>
        <w:t>2. Dataset Selection</w:t>
      </w:r>
    </w:p>
    <w:p w14:paraId="5EC62264" w14:textId="097A49BD"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 xml:space="preserve">This project will utilize the HHS Weekly Hospital Respiratory Data (2020–2024), a publicly available surveillance dataset compiled by the U.S. Department of Health and Human Services and sourced via Kaggle. The dataset aggregates weekly hospital capacity and respiratory disease admission reports submitted by hospitals across all 50 U.S. states, the District of Columbia, and U.S. territories. The unit of observation is one geographic region for one week, spanning August 2020 through November 2024 </w:t>
      </w:r>
      <w:r w:rsidR="000D5ADF">
        <w:rPr>
          <w:rFonts w:asciiTheme="minorHAnsi" w:hAnsiTheme="minorHAnsi" w:cs="Times New Roman"/>
          <w:sz w:val="22"/>
          <w:szCs w:val="22"/>
        </w:rPr>
        <w:t xml:space="preserve"> (</w:t>
      </w:r>
      <w:r w:rsidRPr="000D5ADF">
        <w:rPr>
          <w:rFonts w:asciiTheme="minorHAnsi" w:hAnsiTheme="minorHAnsi" w:cs="Times New Roman"/>
          <w:sz w:val="22"/>
          <w:szCs w:val="22"/>
        </w:rPr>
        <w:t>a period covering major COVID-19 waves, seasonal influenza cycles, and RSV surges</w:t>
      </w:r>
      <w:r w:rsidR="000D5ADF">
        <w:rPr>
          <w:rFonts w:asciiTheme="minorHAnsi" w:hAnsiTheme="minorHAnsi" w:cs="Times New Roman"/>
          <w:sz w:val="22"/>
          <w:szCs w:val="22"/>
        </w:rPr>
        <w:t>)</w:t>
      </w:r>
      <w:r w:rsidRPr="000D5ADF">
        <w:rPr>
          <w:rFonts w:asciiTheme="minorHAnsi" w:hAnsiTheme="minorHAnsi" w:cs="Times New Roman"/>
          <w:sz w:val="22"/>
          <w:szCs w:val="22"/>
        </w:rPr>
        <w:t xml:space="preserve"> yielding approximately 12,768 records across 160+ columns.</w:t>
      </w:r>
    </w:p>
    <w:p w14:paraId="72224931" w14:textId="77777777"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lastRenderedPageBreak/>
        <w:t>Six variables will be selected from the original dataset: Percent Inpatient Beds Occupied (primary outcome), Percent ICU Beds Occupied, and total patients hospitalized with COVID-19, Influenza, and RSV.</w:t>
      </w:r>
    </w:p>
    <w:p w14:paraId="285EC81A" w14:textId="77777777" w:rsidR="00CB456A" w:rsidRPr="000D5ADF" w:rsidRDefault="00000000">
      <w:pPr>
        <w:spacing w:before="180" w:after="80"/>
        <w:rPr>
          <w:rFonts w:asciiTheme="minorHAnsi" w:hAnsiTheme="minorHAnsi" w:cs="Times New Roman"/>
          <w:sz w:val="22"/>
          <w:szCs w:val="22"/>
        </w:rPr>
      </w:pPr>
      <w:r w:rsidRPr="000D5ADF">
        <w:rPr>
          <w:rFonts w:asciiTheme="minorHAnsi" w:hAnsiTheme="minorHAnsi" w:cs="Times New Roman"/>
          <w:b/>
          <w:bCs/>
          <w:sz w:val="22"/>
          <w:szCs w:val="22"/>
        </w:rPr>
        <w:t>Missing Data</w:t>
      </w:r>
    </w:p>
    <w:p w14:paraId="572F451E" w14:textId="77777777"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Initial exploratory data analysis reveals systematic missingness concentrated in early 2020, reflecting the phased implementation of federal hospital reporting requirements. RSV hospitalization counts are the most severely affected variable, with over 10,000 missing records, while influenza shows 756 missing entries. A two-step imputation strategy will be applied: forward fill grouped within each geographic region independently to preserve temporal continuity and prevent cross-state data contamination, followed by regional median imputation as a fallback for regions with no prior observations.</w:t>
      </w:r>
    </w:p>
    <w:p w14:paraId="4B7B682A" w14:textId="77777777" w:rsidR="00CB456A" w:rsidRPr="000D5ADF" w:rsidRDefault="00000000">
      <w:pPr>
        <w:pStyle w:val="Heading1"/>
        <w:rPr>
          <w:rFonts w:asciiTheme="minorHAnsi" w:hAnsiTheme="minorHAnsi" w:cs="Times New Roman"/>
          <w:sz w:val="22"/>
          <w:szCs w:val="22"/>
        </w:rPr>
      </w:pPr>
      <w:r w:rsidRPr="000D5ADF">
        <w:rPr>
          <w:rFonts w:asciiTheme="minorHAnsi" w:hAnsiTheme="minorHAnsi" w:cs="Times New Roman"/>
          <w:sz w:val="22"/>
          <w:szCs w:val="22"/>
        </w:rPr>
        <w:t>3. Machine Learning Strategy</w:t>
      </w:r>
    </w:p>
    <w:p w14:paraId="5857EC0C" w14:textId="77777777" w:rsidR="00CB456A" w:rsidRPr="000D5ADF" w:rsidRDefault="00000000">
      <w:pPr>
        <w:spacing w:before="180" w:after="80"/>
        <w:rPr>
          <w:rFonts w:asciiTheme="minorHAnsi" w:hAnsiTheme="minorHAnsi" w:cs="Times New Roman"/>
          <w:sz w:val="22"/>
          <w:szCs w:val="22"/>
        </w:rPr>
      </w:pPr>
      <w:r w:rsidRPr="000D5ADF">
        <w:rPr>
          <w:rFonts w:asciiTheme="minorHAnsi" w:hAnsiTheme="minorHAnsi" w:cs="Times New Roman"/>
          <w:b/>
          <w:bCs/>
          <w:sz w:val="22"/>
          <w:szCs w:val="22"/>
        </w:rPr>
        <w:t>Outcome Variable</w:t>
      </w:r>
    </w:p>
    <w:p w14:paraId="40076B91" w14:textId="44EC32F4"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 xml:space="preserve">A binary surge label will be derived from Percent Inpatient Beds Occupied using an 85% occupancy threshold, consistent with hospital capacity planning guidelines identifying this level as the point where care quality begins to deteriorate. Weeks at or above 85% will be labeled surge (1); all others non-surge (0). Preliminary analysis reveals surge events comprise only 6.4% of observations, introducing substantial class imbalance. </w:t>
      </w:r>
      <w:r w:rsidR="00494BAF" w:rsidRPr="000D5ADF">
        <w:rPr>
          <w:rFonts w:asciiTheme="minorHAnsi" w:hAnsiTheme="minorHAnsi" w:cs="Times New Roman"/>
          <w:sz w:val="22"/>
          <w:szCs w:val="22"/>
        </w:rPr>
        <w:t>C</w:t>
      </w:r>
      <w:r w:rsidRPr="000D5ADF">
        <w:rPr>
          <w:rFonts w:asciiTheme="minorHAnsi" w:hAnsiTheme="minorHAnsi" w:cs="Times New Roman"/>
          <w:sz w:val="22"/>
          <w:szCs w:val="22"/>
        </w:rPr>
        <w:t>lass imbalance will be handled algorithmically using class_weight='balanced' for Random Forest and Logistic Regression, and scale_pos_weight for XGBoost. This achieves equivalent minority class penalization without corrupting the time-series structure of the data.</w:t>
      </w:r>
    </w:p>
    <w:p w14:paraId="77B66008" w14:textId="77777777" w:rsidR="00CB456A" w:rsidRPr="000D5ADF" w:rsidRDefault="00000000">
      <w:pPr>
        <w:spacing w:before="180" w:after="80"/>
        <w:rPr>
          <w:rFonts w:asciiTheme="minorHAnsi" w:hAnsiTheme="minorHAnsi" w:cs="Times New Roman"/>
          <w:sz w:val="22"/>
          <w:szCs w:val="22"/>
        </w:rPr>
      </w:pPr>
      <w:r w:rsidRPr="000D5ADF">
        <w:rPr>
          <w:rFonts w:asciiTheme="minorHAnsi" w:hAnsiTheme="minorHAnsi" w:cs="Times New Roman"/>
          <w:b/>
          <w:bCs/>
          <w:sz w:val="22"/>
          <w:szCs w:val="22"/>
        </w:rPr>
        <w:t>Feature Engineering</w:t>
      </w:r>
    </w:p>
    <w:p w14:paraId="2A8F0240" w14:textId="77F7C08A"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 xml:space="preserve">Ten features will be constructed from the selected variables. Lag features  </w:t>
      </w:r>
      <w:r w:rsidR="000D5ADF" w:rsidRPr="000D5ADF">
        <w:rPr>
          <w:rFonts w:asciiTheme="minorHAnsi" w:hAnsiTheme="minorHAnsi" w:cs="Times New Roman"/>
          <w:sz w:val="22"/>
          <w:szCs w:val="22"/>
        </w:rPr>
        <w:t>(</w:t>
      </w:r>
      <w:r w:rsidRPr="000D5ADF">
        <w:rPr>
          <w:rFonts w:asciiTheme="minorHAnsi" w:hAnsiTheme="minorHAnsi" w:cs="Times New Roman"/>
          <w:sz w:val="22"/>
          <w:szCs w:val="22"/>
        </w:rPr>
        <w:t>occupancy rates from 1, 2, 4, and 52 weeks prior</w:t>
      </w:r>
      <w:r w:rsidR="000D5ADF" w:rsidRPr="000D5ADF">
        <w:rPr>
          <w:rFonts w:asciiTheme="minorHAnsi" w:hAnsiTheme="minorHAnsi" w:cs="Times New Roman"/>
          <w:sz w:val="22"/>
          <w:szCs w:val="22"/>
        </w:rPr>
        <w:t xml:space="preserve">) </w:t>
      </w:r>
      <w:r w:rsidRPr="000D5ADF">
        <w:rPr>
          <w:rFonts w:asciiTheme="minorHAnsi" w:hAnsiTheme="minorHAnsi" w:cs="Times New Roman"/>
          <w:sz w:val="22"/>
          <w:szCs w:val="22"/>
        </w:rPr>
        <w:t>will capture short-term autocorrelation, monthly momentum, and year-over-year seasonal patterns respectively. All lag features will be computed within each geographic region independently to prevent data leakage. To avoid contemporaneous target leakage</w:t>
      </w:r>
      <w:r w:rsidR="000D5ADF">
        <w:rPr>
          <w:rFonts w:asciiTheme="minorHAnsi" w:hAnsiTheme="minorHAnsi" w:cs="Times New Roman"/>
          <w:sz w:val="22"/>
          <w:szCs w:val="22"/>
        </w:rPr>
        <w:t>,</w:t>
      </w:r>
      <w:r w:rsidRPr="000D5ADF">
        <w:rPr>
          <w:rFonts w:asciiTheme="minorHAnsi" w:hAnsiTheme="minorHAnsi" w:cs="Times New Roman"/>
          <w:sz w:val="22"/>
          <w:szCs w:val="22"/>
        </w:rPr>
        <w:t xml:space="preserve"> where this week's disease burden is used to predict this week's surge</w:t>
      </w:r>
      <w:r w:rsidR="000D5ADF">
        <w:rPr>
          <w:rFonts w:asciiTheme="minorHAnsi" w:hAnsiTheme="minorHAnsi" w:cs="Times New Roman"/>
          <w:sz w:val="22"/>
          <w:szCs w:val="22"/>
        </w:rPr>
        <w:t>,</w:t>
      </w:r>
      <w:r w:rsidRPr="000D5ADF">
        <w:rPr>
          <w:rFonts w:asciiTheme="minorHAnsi" w:hAnsiTheme="minorHAnsi" w:cs="Times New Roman"/>
          <w:sz w:val="22"/>
          <w:szCs w:val="22"/>
        </w:rPr>
        <w:t xml:space="preserve"> ICU occupancy and disease-specific hospitalization counts for COVID-19, Influenza, and RSV will all be lagged by one week, ensuring the model only uses information that would realistically be available at prediction time. A time-based train/test split (training: August 2021 – August 2023; testing: August 2023 – November 2024) will be used rather than random splitting to preserve temporal structure and mirror real-world deployment conditions.</w:t>
      </w:r>
    </w:p>
    <w:p w14:paraId="4B562817" w14:textId="77777777" w:rsidR="00CB456A" w:rsidRPr="000D5ADF" w:rsidRDefault="00000000">
      <w:pPr>
        <w:spacing w:before="180" w:after="80"/>
        <w:rPr>
          <w:rFonts w:asciiTheme="minorHAnsi" w:hAnsiTheme="minorHAnsi" w:cs="Times New Roman"/>
          <w:sz w:val="22"/>
          <w:szCs w:val="22"/>
        </w:rPr>
      </w:pPr>
      <w:r w:rsidRPr="000D5ADF">
        <w:rPr>
          <w:rFonts w:asciiTheme="minorHAnsi" w:hAnsiTheme="minorHAnsi" w:cs="Times New Roman"/>
          <w:b/>
          <w:bCs/>
          <w:sz w:val="22"/>
          <w:szCs w:val="22"/>
        </w:rPr>
        <w:t>Clustering</w:t>
      </w:r>
    </w:p>
    <w:p w14:paraId="434CE833" w14:textId="27BD77A5"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K-Means clustering will be applied to training data only</w:t>
      </w:r>
      <w:r w:rsidR="00A7054F">
        <w:rPr>
          <w:rFonts w:asciiTheme="minorHAnsi" w:hAnsiTheme="minorHAnsi" w:cs="Times New Roman"/>
          <w:sz w:val="22"/>
          <w:szCs w:val="22"/>
        </w:rPr>
        <w:t>, u</w:t>
      </w:r>
      <w:r w:rsidRPr="000D5ADF">
        <w:rPr>
          <w:rFonts w:asciiTheme="minorHAnsi" w:hAnsiTheme="minorHAnsi" w:cs="Times New Roman"/>
          <w:sz w:val="22"/>
          <w:szCs w:val="22"/>
        </w:rPr>
        <w:t>sing pre-split regional averages to prevent test set information from influencing cluster assignments. Regions will be clustered using their average respiratory disease burden and occupancy patterns, and the optimal number of clusters will be determined using an elbow plot. One representative state per cluster will be selected for SARIMA comparison, allowing evaluation of how model performance varies across distinct regional surge profiles.</w:t>
      </w:r>
    </w:p>
    <w:p w14:paraId="7874D14E" w14:textId="77777777" w:rsidR="00CB456A" w:rsidRPr="000D5ADF" w:rsidRDefault="00000000">
      <w:pPr>
        <w:spacing w:before="180" w:after="80"/>
        <w:rPr>
          <w:rFonts w:asciiTheme="minorHAnsi" w:hAnsiTheme="minorHAnsi" w:cs="Times New Roman"/>
          <w:sz w:val="22"/>
          <w:szCs w:val="22"/>
        </w:rPr>
      </w:pPr>
      <w:r w:rsidRPr="000D5ADF">
        <w:rPr>
          <w:rFonts w:asciiTheme="minorHAnsi" w:hAnsiTheme="minorHAnsi" w:cs="Times New Roman"/>
          <w:b/>
          <w:bCs/>
          <w:sz w:val="22"/>
          <w:szCs w:val="22"/>
        </w:rPr>
        <w:t>Model Selection and Training</w:t>
      </w:r>
    </w:p>
    <w:p w14:paraId="0432F22F" w14:textId="77777777" w:rsidR="008C20B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This project will employ a two-layer evaluation framework comparing models on regression (continuous occupancy forecasting) and classification (binary surge detection) tasks.</w:t>
      </w:r>
      <w:r w:rsidR="0027712A">
        <w:rPr>
          <w:rFonts w:asciiTheme="minorHAnsi" w:hAnsiTheme="minorHAnsi" w:cs="Times New Roman"/>
          <w:sz w:val="22"/>
          <w:szCs w:val="22"/>
        </w:rPr>
        <w:t xml:space="preserve"> </w:t>
      </w:r>
    </w:p>
    <w:p w14:paraId="348E82F1" w14:textId="6829CCDF" w:rsidR="00CB456A" w:rsidRPr="000D5ADF" w:rsidRDefault="0027712A">
      <w:pPr>
        <w:spacing w:after="160"/>
        <w:rPr>
          <w:rFonts w:asciiTheme="minorHAnsi" w:hAnsiTheme="minorHAnsi" w:cs="Times New Roman"/>
          <w:sz w:val="22"/>
          <w:szCs w:val="22"/>
        </w:rPr>
      </w:pPr>
      <w:r w:rsidRPr="0027712A">
        <w:rPr>
          <w:rFonts w:asciiTheme="minorHAnsi" w:hAnsiTheme="minorHAnsi" w:cs="Times New Roman"/>
          <w:sz w:val="22"/>
          <w:szCs w:val="22"/>
        </w:rPr>
        <w:lastRenderedPageBreak/>
        <w:t>SARIMA will be evaluated on both regression and classification tasks, though its architectural strengths favor the former. As a continuous forecasting model, SARIMA is optimized to minimize prediction error across the full occupancy range</w:t>
      </w:r>
      <w:r>
        <w:rPr>
          <w:rFonts w:asciiTheme="minorHAnsi" w:hAnsiTheme="minorHAnsi" w:cs="Times New Roman"/>
          <w:sz w:val="22"/>
          <w:szCs w:val="22"/>
        </w:rPr>
        <w:t>,</w:t>
      </w:r>
      <w:r w:rsidRPr="0027712A">
        <w:rPr>
          <w:rFonts w:asciiTheme="minorHAnsi" w:hAnsiTheme="minorHAnsi" w:cs="Times New Roman"/>
          <w:sz w:val="22"/>
          <w:szCs w:val="22"/>
        </w:rPr>
        <w:t xml:space="preserve"> not to discriminate around a clinically defined threshold. Converting its continuous output to a binary surge label via threshold introduces error that SARIMA has no mechanism to correct for, and unlike ML classifiers, it has no equivalent to class_weight or scale_pos_weight to account for the 93.6% non-surge majority. ML classifiers, by contrast, are trained directly on the binary label and can learn to recognize the occupancy deviation patterns that constitute surge events specifically.</w:t>
      </w:r>
      <w:r w:rsidR="008C20BF">
        <w:rPr>
          <w:rFonts w:asciiTheme="minorHAnsi" w:hAnsiTheme="minorHAnsi" w:cs="Times New Roman"/>
          <w:sz w:val="22"/>
          <w:szCs w:val="22"/>
        </w:rPr>
        <w:t xml:space="preserve"> For example, </w:t>
      </w:r>
      <w:r w:rsidR="00A7054F">
        <w:rPr>
          <w:rFonts w:asciiTheme="minorHAnsi" w:hAnsiTheme="minorHAnsi" w:cs="Times New Roman"/>
          <w:sz w:val="22"/>
          <w:szCs w:val="22"/>
        </w:rPr>
        <w:t>c</w:t>
      </w:r>
      <w:r w:rsidR="008C20BF" w:rsidRPr="008C20BF">
        <w:rPr>
          <w:rFonts w:asciiTheme="minorHAnsi" w:hAnsiTheme="minorHAnsi" w:cs="Times New Roman"/>
          <w:sz w:val="22"/>
          <w:szCs w:val="22"/>
        </w:rPr>
        <w:t>onverting SARIMA's continuous output to a binary surge label via threshold is inherently lossy</w:t>
      </w:r>
      <w:r w:rsidR="008C20BF">
        <w:rPr>
          <w:rFonts w:asciiTheme="minorHAnsi" w:hAnsiTheme="minorHAnsi" w:cs="Times New Roman"/>
          <w:sz w:val="22"/>
          <w:szCs w:val="22"/>
        </w:rPr>
        <w:t>. A</w:t>
      </w:r>
      <w:r w:rsidR="008C20BF" w:rsidRPr="008C20BF">
        <w:rPr>
          <w:rFonts w:asciiTheme="minorHAnsi" w:hAnsiTheme="minorHAnsi" w:cs="Times New Roman"/>
          <w:sz w:val="22"/>
          <w:szCs w:val="22"/>
        </w:rPr>
        <w:t xml:space="preserve"> prediction of 0.83 versus 0.87 represents an identical 0.04 error from SARIMA's perspective, yet one misses the surge threshold entirely while the other triggers an alert.</w:t>
      </w:r>
    </w:p>
    <w:p w14:paraId="5A4216B7" w14:textId="77777777" w:rsidR="00CB456A" w:rsidRPr="000D5ADF" w:rsidRDefault="00000000">
      <w:pPr>
        <w:spacing w:after="80"/>
        <w:rPr>
          <w:rFonts w:asciiTheme="minorHAnsi" w:hAnsiTheme="minorHAnsi" w:cs="Times New Roman"/>
          <w:sz w:val="22"/>
          <w:szCs w:val="22"/>
        </w:rPr>
      </w:pPr>
      <w:r w:rsidRPr="000D5ADF">
        <w:rPr>
          <w:rFonts w:asciiTheme="minorHAnsi" w:hAnsiTheme="minorHAnsi" w:cs="Times New Roman"/>
          <w:b/>
          <w:bCs/>
          <w:sz w:val="22"/>
          <w:szCs w:val="22"/>
        </w:rPr>
        <w:t>Regression Layer:</w:t>
      </w:r>
    </w:p>
    <w:p w14:paraId="346E490A" w14:textId="09AE4306" w:rsidR="00CB456A" w:rsidRPr="000D5ADF" w:rsidRDefault="00000000">
      <w:pPr>
        <w:pStyle w:val="ListParagraph"/>
        <w:numPr>
          <w:ilvl w:val="0"/>
          <w:numId w:val="2"/>
        </w:numPr>
        <w:spacing w:after="80"/>
        <w:rPr>
          <w:rFonts w:asciiTheme="minorHAnsi" w:hAnsiTheme="minorHAnsi" w:cs="Times New Roman"/>
          <w:sz w:val="22"/>
          <w:szCs w:val="22"/>
        </w:rPr>
      </w:pPr>
      <w:r w:rsidRPr="00DE3D29">
        <w:rPr>
          <w:rFonts w:asciiTheme="minorHAnsi" w:hAnsiTheme="minorHAnsi" w:cs="Times New Roman"/>
          <w:b/>
          <w:bCs/>
          <w:sz w:val="22"/>
          <w:szCs w:val="22"/>
        </w:rPr>
        <w:t>Random Forest Regressor</w:t>
      </w:r>
      <w:r w:rsidR="00D010DD" w:rsidRPr="00DE3D29">
        <w:rPr>
          <w:rFonts w:asciiTheme="minorHAnsi" w:hAnsiTheme="minorHAnsi" w:cs="Times New Roman"/>
          <w:b/>
          <w:bCs/>
          <w:sz w:val="22"/>
          <w:szCs w:val="22"/>
        </w:rPr>
        <w:t>:</w:t>
      </w:r>
      <w:r w:rsidRPr="000D5ADF">
        <w:rPr>
          <w:rFonts w:asciiTheme="minorHAnsi" w:hAnsiTheme="minorHAnsi" w:cs="Times New Roman"/>
          <w:sz w:val="22"/>
          <w:szCs w:val="22"/>
        </w:rPr>
        <w:t xml:space="preserve"> </w:t>
      </w:r>
      <w:r w:rsidR="00D010DD" w:rsidRPr="000D5ADF">
        <w:rPr>
          <w:rFonts w:asciiTheme="minorHAnsi" w:hAnsiTheme="minorHAnsi" w:cs="Times New Roman"/>
          <w:sz w:val="22"/>
          <w:szCs w:val="22"/>
        </w:rPr>
        <w:t>P</w:t>
      </w:r>
      <w:r w:rsidRPr="000D5ADF">
        <w:rPr>
          <w:rFonts w:asciiTheme="minorHAnsi" w:hAnsiTheme="minorHAnsi" w:cs="Times New Roman"/>
          <w:sz w:val="22"/>
          <w:szCs w:val="22"/>
        </w:rPr>
        <w:t>redicts continuous occupancy rate across all 57 regions simultaneously</w:t>
      </w:r>
    </w:p>
    <w:p w14:paraId="05F4E751" w14:textId="0A03D8C2" w:rsidR="00CB456A" w:rsidRPr="000D5ADF" w:rsidRDefault="00000000">
      <w:pPr>
        <w:pStyle w:val="ListParagraph"/>
        <w:numPr>
          <w:ilvl w:val="0"/>
          <w:numId w:val="2"/>
        </w:numPr>
        <w:spacing w:after="80"/>
        <w:rPr>
          <w:rFonts w:asciiTheme="minorHAnsi" w:hAnsiTheme="minorHAnsi" w:cs="Times New Roman"/>
          <w:sz w:val="22"/>
          <w:szCs w:val="22"/>
        </w:rPr>
      </w:pPr>
      <w:r w:rsidRPr="00DE3D29">
        <w:rPr>
          <w:rFonts w:asciiTheme="minorHAnsi" w:hAnsiTheme="minorHAnsi" w:cs="Times New Roman"/>
          <w:b/>
          <w:bCs/>
          <w:sz w:val="22"/>
          <w:szCs w:val="22"/>
        </w:rPr>
        <w:t>XGBoost Regressor</w:t>
      </w:r>
      <w:r w:rsidR="00D010DD" w:rsidRPr="00DE3D29">
        <w:rPr>
          <w:rFonts w:asciiTheme="minorHAnsi" w:hAnsiTheme="minorHAnsi" w:cs="Times New Roman"/>
          <w:b/>
          <w:bCs/>
          <w:sz w:val="22"/>
          <w:szCs w:val="22"/>
        </w:rPr>
        <w:t>:</w:t>
      </w:r>
      <w:r w:rsidR="00D010DD" w:rsidRPr="000D5ADF">
        <w:rPr>
          <w:rFonts w:asciiTheme="minorHAnsi" w:hAnsiTheme="minorHAnsi" w:cs="Times New Roman"/>
          <w:sz w:val="22"/>
          <w:szCs w:val="22"/>
        </w:rPr>
        <w:t xml:space="preserve"> G</w:t>
      </w:r>
      <w:r w:rsidRPr="000D5ADF">
        <w:rPr>
          <w:rFonts w:asciiTheme="minorHAnsi" w:hAnsiTheme="minorHAnsi" w:cs="Times New Roman"/>
          <w:sz w:val="22"/>
          <w:szCs w:val="22"/>
        </w:rPr>
        <w:t>radient boosting ensemble for direct comparison with RF</w:t>
      </w:r>
    </w:p>
    <w:p w14:paraId="1F5ACA5F" w14:textId="02E347A9" w:rsidR="00CB456A" w:rsidRPr="000D5ADF" w:rsidRDefault="00000000">
      <w:pPr>
        <w:pStyle w:val="ListParagraph"/>
        <w:numPr>
          <w:ilvl w:val="0"/>
          <w:numId w:val="2"/>
        </w:numPr>
        <w:spacing w:after="80"/>
        <w:rPr>
          <w:rFonts w:asciiTheme="minorHAnsi" w:hAnsiTheme="minorHAnsi" w:cs="Times New Roman"/>
          <w:sz w:val="22"/>
          <w:szCs w:val="22"/>
        </w:rPr>
      </w:pPr>
      <w:r w:rsidRPr="00DE3D29">
        <w:rPr>
          <w:rFonts w:asciiTheme="minorHAnsi" w:hAnsiTheme="minorHAnsi" w:cs="Times New Roman"/>
          <w:b/>
          <w:bCs/>
          <w:sz w:val="22"/>
          <w:szCs w:val="22"/>
        </w:rPr>
        <w:t>SARIMA(1,1,1)(1,1,1,52)</w:t>
      </w:r>
      <w:r w:rsidR="00D010DD" w:rsidRPr="00DE3D29">
        <w:rPr>
          <w:rFonts w:asciiTheme="minorHAnsi" w:hAnsiTheme="minorHAnsi" w:cs="Times New Roman"/>
          <w:b/>
          <w:bCs/>
          <w:sz w:val="22"/>
          <w:szCs w:val="22"/>
        </w:rPr>
        <w:t>:</w:t>
      </w:r>
      <w:r w:rsidR="00D010DD" w:rsidRPr="000D5ADF">
        <w:rPr>
          <w:rFonts w:asciiTheme="minorHAnsi" w:hAnsiTheme="minorHAnsi" w:cs="Times New Roman"/>
          <w:sz w:val="22"/>
          <w:szCs w:val="22"/>
        </w:rPr>
        <w:t xml:space="preserve"> P</w:t>
      </w:r>
      <w:r w:rsidRPr="000D5ADF">
        <w:rPr>
          <w:rFonts w:asciiTheme="minorHAnsi" w:hAnsiTheme="minorHAnsi" w:cs="Times New Roman"/>
          <w:sz w:val="22"/>
          <w:szCs w:val="22"/>
        </w:rPr>
        <w:t>robabilistic time-series model fit on one representative state per cluster, evaluated on continuous occupancy forecasting</w:t>
      </w:r>
    </w:p>
    <w:p w14:paraId="79125DF9" w14:textId="369BB9F4" w:rsidR="00CB456A" w:rsidRPr="000D5ADF" w:rsidRDefault="00000000">
      <w:pPr>
        <w:pStyle w:val="ListParagraph"/>
        <w:numPr>
          <w:ilvl w:val="0"/>
          <w:numId w:val="2"/>
        </w:numPr>
        <w:spacing w:after="80"/>
        <w:rPr>
          <w:rFonts w:asciiTheme="minorHAnsi" w:hAnsiTheme="minorHAnsi" w:cs="Times New Roman"/>
          <w:sz w:val="22"/>
          <w:szCs w:val="22"/>
        </w:rPr>
      </w:pPr>
      <w:r w:rsidRPr="00DE3D29">
        <w:rPr>
          <w:rFonts w:asciiTheme="minorHAnsi" w:hAnsiTheme="minorHAnsi" w:cs="Times New Roman"/>
          <w:b/>
          <w:bCs/>
          <w:sz w:val="22"/>
          <w:szCs w:val="22"/>
        </w:rPr>
        <w:t xml:space="preserve">Hybrid Regressor </w:t>
      </w:r>
      <w:r w:rsidR="00D010DD" w:rsidRPr="00DE3D29">
        <w:rPr>
          <w:rFonts w:asciiTheme="minorHAnsi" w:hAnsiTheme="minorHAnsi" w:cs="Times New Roman"/>
          <w:b/>
          <w:bCs/>
          <w:sz w:val="22"/>
          <w:szCs w:val="22"/>
        </w:rPr>
        <w:t>:</w:t>
      </w:r>
      <w:r w:rsidR="00D010DD" w:rsidRPr="000D5ADF">
        <w:rPr>
          <w:rFonts w:asciiTheme="minorHAnsi" w:hAnsiTheme="minorHAnsi" w:cs="Times New Roman"/>
          <w:sz w:val="22"/>
          <w:szCs w:val="22"/>
        </w:rPr>
        <w:t xml:space="preserve"> </w:t>
      </w:r>
      <w:r w:rsidRPr="000D5ADF">
        <w:rPr>
          <w:rFonts w:asciiTheme="minorHAnsi" w:hAnsiTheme="minorHAnsi" w:cs="Times New Roman"/>
          <w:sz w:val="22"/>
          <w:szCs w:val="22"/>
        </w:rPr>
        <w:t>RF augmented with SARIMA-derived uncertainty features generated via expanding window cross-validation (point forecast, lower/upper confidence bounds, interval width)</w:t>
      </w:r>
    </w:p>
    <w:p w14:paraId="50AC13E4" w14:textId="77777777" w:rsidR="00CB456A" w:rsidRPr="000D5ADF" w:rsidRDefault="00000000">
      <w:pPr>
        <w:spacing w:before="120" w:after="80"/>
        <w:rPr>
          <w:rFonts w:asciiTheme="minorHAnsi" w:hAnsiTheme="minorHAnsi" w:cs="Times New Roman"/>
          <w:sz w:val="22"/>
          <w:szCs w:val="22"/>
        </w:rPr>
      </w:pPr>
      <w:r w:rsidRPr="000D5ADF">
        <w:rPr>
          <w:rFonts w:asciiTheme="minorHAnsi" w:hAnsiTheme="minorHAnsi" w:cs="Times New Roman"/>
          <w:b/>
          <w:bCs/>
          <w:sz w:val="22"/>
          <w:szCs w:val="22"/>
        </w:rPr>
        <w:t>Classification Layer:</w:t>
      </w:r>
    </w:p>
    <w:p w14:paraId="7483E42C" w14:textId="6AC77DB9" w:rsidR="00CB456A" w:rsidRPr="000D5ADF" w:rsidRDefault="00000000">
      <w:pPr>
        <w:pStyle w:val="ListParagraph"/>
        <w:numPr>
          <w:ilvl w:val="0"/>
          <w:numId w:val="2"/>
        </w:numPr>
        <w:spacing w:after="80"/>
        <w:rPr>
          <w:rFonts w:asciiTheme="minorHAnsi" w:hAnsiTheme="minorHAnsi" w:cs="Times New Roman"/>
          <w:sz w:val="22"/>
          <w:szCs w:val="22"/>
        </w:rPr>
      </w:pPr>
      <w:r w:rsidRPr="00DE3D29">
        <w:rPr>
          <w:rFonts w:asciiTheme="minorHAnsi" w:hAnsiTheme="minorHAnsi" w:cs="Times New Roman"/>
          <w:b/>
          <w:bCs/>
          <w:sz w:val="22"/>
          <w:szCs w:val="22"/>
        </w:rPr>
        <w:t>Logistic Regression</w:t>
      </w:r>
      <w:r w:rsidR="00D010DD" w:rsidRPr="00DE3D29">
        <w:rPr>
          <w:rFonts w:asciiTheme="minorHAnsi" w:hAnsiTheme="minorHAnsi" w:cs="Times New Roman"/>
          <w:b/>
          <w:bCs/>
          <w:sz w:val="22"/>
          <w:szCs w:val="22"/>
        </w:rPr>
        <w:t>:</w:t>
      </w:r>
      <w:r w:rsidRPr="00DE3D29">
        <w:rPr>
          <w:rFonts w:asciiTheme="minorHAnsi" w:hAnsiTheme="minorHAnsi" w:cs="Times New Roman"/>
          <w:b/>
          <w:bCs/>
          <w:sz w:val="22"/>
          <w:szCs w:val="22"/>
        </w:rPr>
        <w:t xml:space="preserve"> </w:t>
      </w:r>
      <w:r w:rsidR="00D010DD" w:rsidRPr="000D5ADF">
        <w:rPr>
          <w:rFonts w:asciiTheme="minorHAnsi" w:hAnsiTheme="minorHAnsi" w:cs="Times New Roman"/>
          <w:sz w:val="22"/>
          <w:szCs w:val="22"/>
        </w:rPr>
        <w:t>I</w:t>
      </w:r>
      <w:r w:rsidRPr="000D5ADF">
        <w:rPr>
          <w:rFonts w:asciiTheme="minorHAnsi" w:hAnsiTheme="minorHAnsi" w:cs="Times New Roman"/>
          <w:sz w:val="22"/>
          <w:szCs w:val="22"/>
        </w:rPr>
        <w:t>nterpretable baseline</w:t>
      </w:r>
    </w:p>
    <w:p w14:paraId="02D55DBB" w14:textId="61645C80" w:rsidR="00CB456A" w:rsidRPr="000D5ADF" w:rsidRDefault="00000000">
      <w:pPr>
        <w:pStyle w:val="ListParagraph"/>
        <w:numPr>
          <w:ilvl w:val="0"/>
          <w:numId w:val="2"/>
        </w:numPr>
        <w:spacing w:after="80"/>
        <w:rPr>
          <w:rFonts w:asciiTheme="minorHAnsi" w:hAnsiTheme="minorHAnsi" w:cs="Times New Roman"/>
          <w:sz w:val="22"/>
          <w:szCs w:val="22"/>
        </w:rPr>
      </w:pPr>
      <w:r w:rsidRPr="00DE3D29">
        <w:rPr>
          <w:rFonts w:asciiTheme="minorHAnsi" w:hAnsiTheme="minorHAnsi" w:cs="Times New Roman"/>
          <w:b/>
          <w:bCs/>
          <w:sz w:val="22"/>
          <w:szCs w:val="22"/>
        </w:rPr>
        <w:t>Random Forest Classifier</w:t>
      </w:r>
      <w:r w:rsidR="00D010DD" w:rsidRPr="00DE3D29">
        <w:rPr>
          <w:rFonts w:asciiTheme="minorHAnsi" w:hAnsiTheme="minorHAnsi" w:cs="Times New Roman"/>
          <w:b/>
          <w:bCs/>
          <w:sz w:val="22"/>
          <w:szCs w:val="22"/>
        </w:rPr>
        <w:t>:</w:t>
      </w:r>
      <w:r w:rsidRPr="000D5ADF">
        <w:rPr>
          <w:rFonts w:asciiTheme="minorHAnsi" w:hAnsiTheme="minorHAnsi" w:cs="Times New Roman"/>
          <w:sz w:val="22"/>
          <w:szCs w:val="22"/>
        </w:rPr>
        <w:t xml:space="preserve"> </w:t>
      </w:r>
      <w:r w:rsidR="00D010DD" w:rsidRPr="000D5ADF">
        <w:rPr>
          <w:rFonts w:asciiTheme="minorHAnsi" w:hAnsiTheme="minorHAnsi" w:cs="Times New Roman"/>
          <w:sz w:val="22"/>
          <w:szCs w:val="22"/>
        </w:rPr>
        <w:t>P</w:t>
      </w:r>
      <w:r w:rsidRPr="000D5ADF">
        <w:rPr>
          <w:rFonts w:asciiTheme="minorHAnsi" w:hAnsiTheme="minorHAnsi" w:cs="Times New Roman"/>
          <w:sz w:val="22"/>
          <w:szCs w:val="22"/>
        </w:rPr>
        <w:t>rimary ML model</w:t>
      </w:r>
    </w:p>
    <w:p w14:paraId="4E797838" w14:textId="6580EBED" w:rsidR="00CB456A" w:rsidRPr="000D5ADF" w:rsidRDefault="00000000">
      <w:pPr>
        <w:pStyle w:val="ListParagraph"/>
        <w:numPr>
          <w:ilvl w:val="0"/>
          <w:numId w:val="2"/>
        </w:numPr>
        <w:spacing w:after="80"/>
        <w:rPr>
          <w:rFonts w:asciiTheme="minorHAnsi" w:hAnsiTheme="minorHAnsi" w:cs="Times New Roman"/>
          <w:sz w:val="22"/>
          <w:szCs w:val="22"/>
        </w:rPr>
      </w:pPr>
      <w:r w:rsidRPr="00DE3D29">
        <w:rPr>
          <w:rFonts w:asciiTheme="minorHAnsi" w:hAnsiTheme="minorHAnsi" w:cs="Times New Roman"/>
          <w:b/>
          <w:bCs/>
          <w:sz w:val="22"/>
          <w:szCs w:val="22"/>
        </w:rPr>
        <w:t>XGBoost Classifier</w:t>
      </w:r>
      <w:r w:rsidR="00D010DD" w:rsidRPr="00DE3D29">
        <w:rPr>
          <w:rFonts w:asciiTheme="minorHAnsi" w:hAnsiTheme="minorHAnsi" w:cs="Times New Roman"/>
          <w:b/>
          <w:bCs/>
          <w:sz w:val="22"/>
          <w:szCs w:val="22"/>
        </w:rPr>
        <w:t>:</w:t>
      </w:r>
      <w:r w:rsidRPr="000D5ADF">
        <w:rPr>
          <w:rFonts w:asciiTheme="minorHAnsi" w:hAnsiTheme="minorHAnsi" w:cs="Times New Roman"/>
          <w:sz w:val="22"/>
          <w:szCs w:val="22"/>
        </w:rPr>
        <w:t xml:space="preserve"> </w:t>
      </w:r>
      <w:r w:rsidR="00D010DD" w:rsidRPr="000D5ADF">
        <w:rPr>
          <w:rFonts w:asciiTheme="minorHAnsi" w:hAnsiTheme="minorHAnsi" w:cs="Times New Roman"/>
          <w:sz w:val="22"/>
          <w:szCs w:val="22"/>
        </w:rPr>
        <w:t>G</w:t>
      </w:r>
      <w:r w:rsidRPr="000D5ADF">
        <w:rPr>
          <w:rFonts w:asciiTheme="minorHAnsi" w:hAnsiTheme="minorHAnsi" w:cs="Times New Roman"/>
          <w:sz w:val="22"/>
          <w:szCs w:val="22"/>
        </w:rPr>
        <w:t>radient boosting comparison</w:t>
      </w:r>
    </w:p>
    <w:p w14:paraId="2505D969" w14:textId="4344DF18" w:rsidR="00CB456A" w:rsidRPr="000D5ADF" w:rsidRDefault="00000000">
      <w:pPr>
        <w:pStyle w:val="ListParagraph"/>
        <w:numPr>
          <w:ilvl w:val="0"/>
          <w:numId w:val="2"/>
        </w:numPr>
        <w:spacing w:after="80"/>
        <w:rPr>
          <w:rFonts w:asciiTheme="minorHAnsi" w:hAnsiTheme="minorHAnsi" w:cs="Times New Roman"/>
          <w:sz w:val="22"/>
          <w:szCs w:val="22"/>
        </w:rPr>
      </w:pPr>
      <w:r w:rsidRPr="00DE3D29">
        <w:rPr>
          <w:rFonts w:asciiTheme="minorHAnsi" w:hAnsiTheme="minorHAnsi" w:cs="Times New Roman"/>
          <w:b/>
          <w:bCs/>
          <w:sz w:val="22"/>
          <w:szCs w:val="22"/>
        </w:rPr>
        <w:t>Hybrid RF Classifier</w:t>
      </w:r>
      <w:r w:rsidR="00D010DD" w:rsidRPr="00DE3D29">
        <w:rPr>
          <w:rFonts w:asciiTheme="minorHAnsi" w:hAnsiTheme="minorHAnsi" w:cs="Times New Roman"/>
          <w:b/>
          <w:bCs/>
          <w:sz w:val="22"/>
          <w:szCs w:val="22"/>
        </w:rPr>
        <w:t>:</w:t>
      </w:r>
      <w:r w:rsidRPr="000D5ADF">
        <w:rPr>
          <w:rFonts w:asciiTheme="minorHAnsi" w:hAnsiTheme="minorHAnsi" w:cs="Times New Roman"/>
          <w:sz w:val="22"/>
          <w:szCs w:val="22"/>
        </w:rPr>
        <w:t xml:space="preserve"> </w:t>
      </w:r>
      <w:r w:rsidR="00D010DD" w:rsidRPr="000D5ADF">
        <w:rPr>
          <w:rFonts w:asciiTheme="minorHAnsi" w:hAnsiTheme="minorHAnsi" w:cs="Times New Roman"/>
          <w:sz w:val="22"/>
          <w:szCs w:val="22"/>
        </w:rPr>
        <w:t>T</w:t>
      </w:r>
      <w:r w:rsidRPr="000D5ADF">
        <w:rPr>
          <w:rFonts w:asciiTheme="minorHAnsi" w:hAnsiTheme="minorHAnsi" w:cs="Times New Roman"/>
          <w:sz w:val="22"/>
          <w:szCs w:val="22"/>
        </w:rPr>
        <w:t>rue stacking ensemble where SARIMA out-of-fold forecasts from an expanding window are used as supplementary features, ensuring the RF can genuinely learn from SARIMA predictions during training</w:t>
      </w:r>
    </w:p>
    <w:p w14:paraId="6C724C30" w14:textId="4DBBD130" w:rsidR="00CB456A" w:rsidRPr="000D5ADF" w:rsidRDefault="00000000">
      <w:pPr>
        <w:pStyle w:val="ListParagraph"/>
        <w:numPr>
          <w:ilvl w:val="0"/>
          <w:numId w:val="2"/>
        </w:numPr>
        <w:spacing w:after="80"/>
        <w:rPr>
          <w:rFonts w:asciiTheme="minorHAnsi" w:hAnsiTheme="minorHAnsi" w:cs="Times New Roman"/>
          <w:sz w:val="22"/>
          <w:szCs w:val="22"/>
        </w:rPr>
      </w:pPr>
      <w:r w:rsidRPr="00DE3D29">
        <w:rPr>
          <w:rFonts w:asciiTheme="minorHAnsi" w:hAnsiTheme="minorHAnsi" w:cs="Times New Roman"/>
          <w:b/>
          <w:bCs/>
          <w:sz w:val="22"/>
          <w:szCs w:val="22"/>
        </w:rPr>
        <w:t>Hybrid XGBoost Classifier</w:t>
      </w:r>
      <w:r w:rsidR="00D010DD" w:rsidRPr="00DE3D29">
        <w:rPr>
          <w:rFonts w:asciiTheme="minorHAnsi" w:hAnsiTheme="minorHAnsi" w:cs="Times New Roman"/>
          <w:b/>
          <w:bCs/>
          <w:sz w:val="22"/>
          <w:szCs w:val="22"/>
        </w:rPr>
        <w:t>:</w:t>
      </w:r>
      <w:r w:rsidRPr="000D5ADF">
        <w:rPr>
          <w:rFonts w:asciiTheme="minorHAnsi" w:hAnsiTheme="minorHAnsi" w:cs="Times New Roman"/>
          <w:sz w:val="22"/>
          <w:szCs w:val="22"/>
        </w:rPr>
        <w:t xml:space="preserve"> XGBoost augmented with the same expanding window SARIMA features</w:t>
      </w:r>
    </w:p>
    <w:p w14:paraId="77E1AC5E" w14:textId="77777777" w:rsidR="00CB456A" w:rsidRPr="000D5ADF" w:rsidRDefault="00CB456A">
      <w:pPr>
        <w:spacing w:after="160"/>
        <w:rPr>
          <w:rFonts w:asciiTheme="minorHAnsi" w:hAnsiTheme="minorHAnsi" w:cs="Times New Roman"/>
          <w:sz w:val="22"/>
          <w:szCs w:val="22"/>
        </w:rPr>
      </w:pPr>
    </w:p>
    <w:p w14:paraId="279E97BF" w14:textId="77777777" w:rsidR="00CB456A" w:rsidRPr="000D5ADF" w:rsidRDefault="00000000">
      <w:pPr>
        <w:spacing w:before="180" w:after="80"/>
        <w:rPr>
          <w:rFonts w:asciiTheme="minorHAnsi" w:hAnsiTheme="minorHAnsi" w:cs="Times New Roman"/>
          <w:sz w:val="22"/>
          <w:szCs w:val="22"/>
        </w:rPr>
      </w:pPr>
      <w:r w:rsidRPr="000D5ADF">
        <w:rPr>
          <w:rFonts w:asciiTheme="minorHAnsi" w:hAnsiTheme="minorHAnsi" w:cs="Times New Roman"/>
          <w:b/>
          <w:bCs/>
          <w:sz w:val="22"/>
          <w:szCs w:val="22"/>
        </w:rPr>
        <w:t>Hybrid Model Construction</w:t>
      </w:r>
    </w:p>
    <w:p w14:paraId="0A304F22" w14:textId="080DEA3D"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 xml:space="preserve">The hybrid model will be constructed as a true stacking ensemble using an expanding window approach. Rather than zeroing out SARIMA features during training </w:t>
      </w:r>
      <w:r w:rsidR="00494BAF" w:rsidRPr="000D5ADF">
        <w:rPr>
          <w:rFonts w:asciiTheme="minorHAnsi" w:hAnsiTheme="minorHAnsi" w:cs="Times New Roman"/>
          <w:sz w:val="22"/>
          <w:szCs w:val="22"/>
        </w:rPr>
        <w:t>(</w:t>
      </w:r>
      <w:r w:rsidRPr="000D5ADF">
        <w:rPr>
          <w:rFonts w:asciiTheme="minorHAnsi" w:hAnsiTheme="minorHAnsi" w:cs="Times New Roman"/>
          <w:sz w:val="22"/>
          <w:szCs w:val="22"/>
        </w:rPr>
        <w:t>which produces zero variance columns that decision trees cannot split on</w:t>
      </w:r>
      <w:r w:rsidR="00494BAF" w:rsidRPr="000D5ADF">
        <w:rPr>
          <w:rFonts w:asciiTheme="minorHAnsi" w:hAnsiTheme="minorHAnsi" w:cs="Times New Roman"/>
          <w:sz w:val="22"/>
          <w:szCs w:val="22"/>
        </w:rPr>
        <w:t xml:space="preserve">) </w:t>
      </w:r>
      <w:r w:rsidRPr="000D5ADF">
        <w:rPr>
          <w:rFonts w:asciiTheme="minorHAnsi" w:hAnsiTheme="minorHAnsi" w:cs="Times New Roman"/>
          <w:sz w:val="22"/>
          <w:szCs w:val="22"/>
        </w:rPr>
        <w:t>SARIMA will be fit iteratively using an expanding window with a 52-week minimum burn-in period</w:t>
      </w:r>
      <w:r w:rsidR="00A7054F">
        <w:rPr>
          <w:rFonts w:asciiTheme="minorHAnsi" w:hAnsiTheme="minorHAnsi" w:cs="Times New Roman"/>
          <w:sz w:val="22"/>
          <w:szCs w:val="22"/>
        </w:rPr>
        <w:t>,</w:t>
      </w:r>
      <w:r w:rsidR="003B1B7C">
        <w:rPr>
          <w:rFonts w:asciiTheme="minorHAnsi" w:hAnsiTheme="minorHAnsi" w:cs="Times New Roman"/>
          <w:sz w:val="22"/>
          <w:szCs w:val="22"/>
        </w:rPr>
        <w:t xml:space="preserve"> </w:t>
      </w:r>
      <w:r w:rsidR="00A7054F">
        <w:rPr>
          <w:rFonts w:asciiTheme="minorHAnsi" w:hAnsiTheme="minorHAnsi" w:cs="Times New Roman"/>
          <w:sz w:val="22"/>
          <w:szCs w:val="22"/>
        </w:rPr>
        <w:t>g</w:t>
      </w:r>
      <w:r w:rsidRPr="000D5ADF">
        <w:rPr>
          <w:rFonts w:asciiTheme="minorHAnsi" w:hAnsiTheme="minorHAnsi" w:cs="Times New Roman"/>
          <w:sz w:val="22"/>
          <w:szCs w:val="22"/>
        </w:rPr>
        <w:t xml:space="preserve">enerating one-step-ahead out-of-fold forecasts for every week in both the training and test sets. This ensures </w:t>
      </w:r>
      <w:r w:rsidR="00494BAF" w:rsidRPr="000D5ADF">
        <w:rPr>
          <w:rFonts w:asciiTheme="minorHAnsi" w:hAnsiTheme="minorHAnsi" w:cs="Times New Roman"/>
          <w:sz w:val="22"/>
          <w:szCs w:val="22"/>
        </w:rPr>
        <w:t>Random</w:t>
      </w:r>
      <w:r w:rsidRPr="000D5ADF">
        <w:rPr>
          <w:rFonts w:asciiTheme="minorHAnsi" w:hAnsiTheme="minorHAnsi" w:cs="Times New Roman"/>
          <w:sz w:val="22"/>
          <w:szCs w:val="22"/>
        </w:rPr>
        <w:t xml:space="preserve"> Forest and XGBoost classifiers can learn the relationship between SARIMA uncertainty estimates and actual surge outcomes during training, rather than encountering real SARIMA predictions only at test time.</w:t>
      </w:r>
    </w:p>
    <w:p w14:paraId="7A588F88" w14:textId="77777777" w:rsidR="00CB456A" w:rsidRPr="000D5ADF" w:rsidRDefault="00000000">
      <w:pPr>
        <w:spacing w:before="180" w:after="80"/>
        <w:rPr>
          <w:rFonts w:asciiTheme="minorHAnsi" w:hAnsiTheme="minorHAnsi" w:cs="Times New Roman"/>
          <w:sz w:val="22"/>
          <w:szCs w:val="22"/>
        </w:rPr>
      </w:pPr>
      <w:r w:rsidRPr="000D5ADF">
        <w:rPr>
          <w:rFonts w:asciiTheme="minorHAnsi" w:hAnsiTheme="minorHAnsi" w:cs="Times New Roman"/>
          <w:b/>
          <w:bCs/>
          <w:sz w:val="22"/>
          <w:szCs w:val="22"/>
        </w:rPr>
        <w:t>Evaluation Metrics</w:t>
      </w:r>
    </w:p>
    <w:p w14:paraId="32875FD9" w14:textId="1C8FD6E1" w:rsidR="00CB456A" w:rsidRPr="000D5ADF" w:rsidRDefault="00000000">
      <w:pPr>
        <w:pStyle w:val="ListParagraph"/>
        <w:numPr>
          <w:ilvl w:val="0"/>
          <w:numId w:val="3"/>
        </w:numPr>
        <w:spacing w:after="100"/>
        <w:rPr>
          <w:rFonts w:asciiTheme="minorHAnsi" w:hAnsiTheme="minorHAnsi" w:cs="Times New Roman"/>
          <w:sz w:val="22"/>
          <w:szCs w:val="22"/>
        </w:rPr>
      </w:pPr>
      <w:r w:rsidRPr="008F1A5F">
        <w:rPr>
          <w:rFonts w:asciiTheme="minorHAnsi" w:hAnsiTheme="minorHAnsi" w:cs="Times New Roman"/>
          <w:b/>
          <w:bCs/>
          <w:sz w:val="22"/>
          <w:szCs w:val="22"/>
        </w:rPr>
        <w:t>RMSE and MAE</w:t>
      </w:r>
      <w:r w:rsidR="008F1A5F" w:rsidRPr="008F1A5F">
        <w:rPr>
          <w:rFonts w:asciiTheme="minorHAnsi" w:hAnsiTheme="minorHAnsi" w:cs="Times New Roman"/>
          <w:b/>
          <w:bCs/>
          <w:sz w:val="22"/>
          <w:szCs w:val="22"/>
        </w:rPr>
        <w:t>:</w:t>
      </w:r>
      <w:r w:rsidRPr="000D5ADF">
        <w:rPr>
          <w:rFonts w:asciiTheme="minorHAnsi" w:hAnsiTheme="minorHAnsi" w:cs="Times New Roman"/>
          <w:sz w:val="22"/>
          <w:szCs w:val="22"/>
        </w:rPr>
        <w:t xml:space="preserve"> </w:t>
      </w:r>
      <w:r w:rsidR="008F1A5F">
        <w:rPr>
          <w:rFonts w:asciiTheme="minorHAnsi" w:hAnsiTheme="minorHAnsi" w:cs="Times New Roman"/>
          <w:sz w:val="22"/>
          <w:szCs w:val="22"/>
        </w:rPr>
        <w:t>R</w:t>
      </w:r>
      <w:r w:rsidRPr="000D5ADF">
        <w:rPr>
          <w:rFonts w:asciiTheme="minorHAnsi" w:hAnsiTheme="minorHAnsi" w:cs="Times New Roman"/>
          <w:sz w:val="22"/>
          <w:szCs w:val="22"/>
        </w:rPr>
        <w:t>egression layer to assess continuous occupancy forecasting accuracy.</w:t>
      </w:r>
    </w:p>
    <w:p w14:paraId="0E74E306" w14:textId="4D92CF0A" w:rsidR="00CB456A" w:rsidRPr="000D5ADF" w:rsidRDefault="00000000">
      <w:pPr>
        <w:pStyle w:val="ListParagraph"/>
        <w:numPr>
          <w:ilvl w:val="0"/>
          <w:numId w:val="3"/>
        </w:numPr>
        <w:spacing w:after="100"/>
        <w:rPr>
          <w:rFonts w:asciiTheme="minorHAnsi" w:hAnsiTheme="minorHAnsi" w:cs="Times New Roman"/>
          <w:sz w:val="22"/>
          <w:szCs w:val="22"/>
        </w:rPr>
      </w:pPr>
      <w:r w:rsidRPr="00DD45BB">
        <w:rPr>
          <w:rFonts w:asciiTheme="minorHAnsi" w:hAnsiTheme="minorHAnsi" w:cs="Times New Roman"/>
          <w:b/>
          <w:bCs/>
          <w:sz w:val="22"/>
          <w:szCs w:val="22"/>
        </w:rPr>
        <w:lastRenderedPageBreak/>
        <w:t>F1-Score (primary classification metric)</w:t>
      </w:r>
      <w:r w:rsidR="00494BAF" w:rsidRPr="00DD45BB">
        <w:rPr>
          <w:rFonts w:asciiTheme="minorHAnsi" w:hAnsiTheme="minorHAnsi" w:cs="Times New Roman"/>
          <w:b/>
          <w:bCs/>
          <w:sz w:val="22"/>
          <w:szCs w:val="22"/>
        </w:rPr>
        <w:t>:</w:t>
      </w:r>
      <w:r w:rsidRPr="000D5ADF">
        <w:rPr>
          <w:rFonts w:asciiTheme="minorHAnsi" w:hAnsiTheme="minorHAnsi" w:cs="Times New Roman"/>
          <w:sz w:val="22"/>
          <w:szCs w:val="22"/>
        </w:rPr>
        <w:t xml:space="preserve"> </w:t>
      </w:r>
      <w:r w:rsidR="00494BAF" w:rsidRPr="000D5ADF">
        <w:rPr>
          <w:rFonts w:asciiTheme="minorHAnsi" w:hAnsiTheme="minorHAnsi" w:cs="Times New Roman"/>
          <w:sz w:val="22"/>
          <w:szCs w:val="22"/>
        </w:rPr>
        <w:t>A</w:t>
      </w:r>
      <w:r w:rsidRPr="000D5ADF">
        <w:rPr>
          <w:rFonts w:asciiTheme="minorHAnsi" w:hAnsiTheme="minorHAnsi" w:cs="Times New Roman"/>
          <w:sz w:val="22"/>
          <w:szCs w:val="22"/>
        </w:rPr>
        <w:t>ppropriate given the 6.4% class imbalance, balancing precision and recall for the minority surge class.</w:t>
      </w:r>
    </w:p>
    <w:p w14:paraId="353612D4" w14:textId="38BAEAC9" w:rsidR="00CB456A" w:rsidRPr="000D5ADF" w:rsidRDefault="00000000">
      <w:pPr>
        <w:pStyle w:val="ListParagraph"/>
        <w:numPr>
          <w:ilvl w:val="0"/>
          <w:numId w:val="3"/>
        </w:numPr>
        <w:spacing w:after="100"/>
        <w:rPr>
          <w:rFonts w:asciiTheme="minorHAnsi" w:hAnsiTheme="minorHAnsi" w:cs="Times New Roman"/>
          <w:sz w:val="22"/>
          <w:szCs w:val="22"/>
        </w:rPr>
      </w:pPr>
      <w:r w:rsidRPr="00DD45BB">
        <w:rPr>
          <w:rFonts w:asciiTheme="minorHAnsi" w:hAnsiTheme="minorHAnsi" w:cs="Times New Roman"/>
          <w:b/>
          <w:bCs/>
          <w:sz w:val="22"/>
          <w:szCs w:val="22"/>
        </w:rPr>
        <w:t>AUC-ROC</w:t>
      </w:r>
      <w:r w:rsidR="00494BAF" w:rsidRPr="00DD45BB">
        <w:rPr>
          <w:rFonts w:asciiTheme="minorHAnsi" w:hAnsiTheme="minorHAnsi" w:cs="Times New Roman"/>
          <w:b/>
          <w:bCs/>
          <w:sz w:val="22"/>
          <w:szCs w:val="22"/>
        </w:rPr>
        <w:t>:</w:t>
      </w:r>
      <w:r w:rsidR="00494BAF" w:rsidRPr="000D5ADF">
        <w:rPr>
          <w:rFonts w:asciiTheme="minorHAnsi" w:hAnsiTheme="minorHAnsi" w:cs="Times New Roman"/>
          <w:sz w:val="22"/>
          <w:szCs w:val="22"/>
        </w:rPr>
        <w:t xml:space="preserve"> A</w:t>
      </w:r>
      <w:r w:rsidRPr="000D5ADF">
        <w:rPr>
          <w:rFonts w:asciiTheme="minorHAnsi" w:hAnsiTheme="minorHAnsi" w:cs="Times New Roman"/>
          <w:sz w:val="22"/>
          <w:szCs w:val="22"/>
        </w:rPr>
        <w:t>ssesses the model's ability to discriminate between surge and non-surge weeks across all classification thresholds.</w:t>
      </w:r>
    </w:p>
    <w:p w14:paraId="767D2AF3" w14:textId="7E3FDFE4" w:rsidR="00CB456A" w:rsidRPr="000D5ADF" w:rsidRDefault="00000000">
      <w:pPr>
        <w:pStyle w:val="ListParagraph"/>
        <w:numPr>
          <w:ilvl w:val="0"/>
          <w:numId w:val="3"/>
        </w:numPr>
        <w:spacing w:after="100"/>
        <w:rPr>
          <w:rFonts w:asciiTheme="minorHAnsi" w:hAnsiTheme="minorHAnsi" w:cs="Times New Roman"/>
          <w:sz w:val="22"/>
          <w:szCs w:val="22"/>
        </w:rPr>
      </w:pPr>
      <w:r w:rsidRPr="00DD45BB">
        <w:rPr>
          <w:rFonts w:asciiTheme="minorHAnsi" w:hAnsiTheme="minorHAnsi" w:cs="Times New Roman"/>
          <w:b/>
          <w:bCs/>
          <w:sz w:val="22"/>
          <w:szCs w:val="22"/>
        </w:rPr>
        <w:t>Precision-Recall AUC (PR-AUC)</w:t>
      </w:r>
      <w:r w:rsidR="00494BAF" w:rsidRPr="00DD45BB">
        <w:rPr>
          <w:rFonts w:asciiTheme="minorHAnsi" w:hAnsiTheme="minorHAnsi" w:cs="Times New Roman"/>
          <w:b/>
          <w:bCs/>
          <w:sz w:val="22"/>
          <w:szCs w:val="22"/>
        </w:rPr>
        <w:t>:</w:t>
      </w:r>
      <w:r w:rsidR="00494BAF" w:rsidRPr="000D5ADF">
        <w:rPr>
          <w:rFonts w:asciiTheme="minorHAnsi" w:hAnsiTheme="minorHAnsi" w:cs="Times New Roman"/>
          <w:sz w:val="22"/>
          <w:szCs w:val="22"/>
        </w:rPr>
        <w:t xml:space="preserve"> A</w:t>
      </w:r>
      <w:r w:rsidRPr="000D5ADF">
        <w:rPr>
          <w:rFonts w:asciiTheme="minorHAnsi" w:hAnsiTheme="minorHAnsi" w:cs="Times New Roman"/>
          <w:sz w:val="22"/>
          <w:szCs w:val="22"/>
        </w:rPr>
        <w:t xml:space="preserve"> more rigorous metric under severe class imbalance than ROC-AUC, as it focuses exclusively on minority surge class performance and is not inflated by the abundance of true negatives in a 93.6% majority class dataset.</w:t>
      </w:r>
    </w:p>
    <w:p w14:paraId="3AE5A79C" w14:textId="7F05A835" w:rsidR="00CB456A" w:rsidRPr="000D5ADF" w:rsidRDefault="00000000">
      <w:pPr>
        <w:pStyle w:val="ListParagraph"/>
        <w:numPr>
          <w:ilvl w:val="0"/>
          <w:numId w:val="3"/>
        </w:numPr>
        <w:spacing w:after="100"/>
        <w:rPr>
          <w:rFonts w:asciiTheme="minorHAnsi" w:hAnsiTheme="minorHAnsi" w:cs="Times New Roman"/>
          <w:sz w:val="22"/>
          <w:szCs w:val="22"/>
        </w:rPr>
      </w:pPr>
      <w:r w:rsidRPr="00DD45BB">
        <w:rPr>
          <w:rFonts w:asciiTheme="minorHAnsi" w:hAnsiTheme="minorHAnsi" w:cs="Times New Roman"/>
          <w:b/>
          <w:bCs/>
          <w:sz w:val="22"/>
          <w:szCs w:val="22"/>
        </w:rPr>
        <w:t>SHAP (SHapley Additive Explanations)</w:t>
      </w:r>
      <w:r w:rsidR="00494BAF" w:rsidRPr="00DD45BB">
        <w:rPr>
          <w:rFonts w:asciiTheme="minorHAnsi" w:hAnsiTheme="minorHAnsi" w:cs="Times New Roman"/>
          <w:b/>
          <w:bCs/>
          <w:sz w:val="22"/>
          <w:szCs w:val="22"/>
        </w:rPr>
        <w:t>:</w:t>
      </w:r>
      <w:r w:rsidRPr="000D5ADF">
        <w:rPr>
          <w:rFonts w:asciiTheme="minorHAnsi" w:hAnsiTheme="minorHAnsi" w:cs="Times New Roman"/>
          <w:sz w:val="22"/>
          <w:szCs w:val="22"/>
        </w:rPr>
        <w:t xml:space="preserve"> </w:t>
      </w:r>
      <w:r w:rsidR="00494BAF" w:rsidRPr="000D5ADF">
        <w:rPr>
          <w:rFonts w:asciiTheme="minorHAnsi" w:hAnsiTheme="minorHAnsi" w:cs="Times New Roman"/>
          <w:sz w:val="22"/>
          <w:szCs w:val="22"/>
        </w:rPr>
        <w:t>A</w:t>
      </w:r>
      <w:r w:rsidRPr="000D5ADF">
        <w:rPr>
          <w:rFonts w:asciiTheme="minorHAnsi" w:hAnsiTheme="minorHAnsi" w:cs="Times New Roman"/>
          <w:sz w:val="22"/>
          <w:szCs w:val="22"/>
        </w:rPr>
        <w:t>pplied to the Random Forest Classifier to quantify each feature's contribution to individual surge predictions, providing clinical interpretability.</w:t>
      </w:r>
    </w:p>
    <w:p w14:paraId="175BE4EA" w14:textId="77777777" w:rsidR="00CB456A" w:rsidRPr="000D5ADF" w:rsidRDefault="00CB456A">
      <w:pPr>
        <w:spacing w:after="160"/>
        <w:rPr>
          <w:rFonts w:asciiTheme="minorHAnsi" w:hAnsiTheme="minorHAnsi" w:cs="Times New Roman"/>
          <w:sz w:val="22"/>
          <w:szCs w:val="22"/>
        </w:rPr>
      </w:pPr>
    </w:p>
    <w:p w14:paraId="3B69A54C" w14:textId="77777777" w:rsidR="00CB456A" w:rsidRPr="000D5ADF" w:rsidRDefault="00000000">
      <w:pPr>
        <w:spacing w:before="180" w:after="80"/>
        <w:rPr>
          <w:rFonts w:asciiTheme="minorHAnsi" w:hAnsiTheme="minorHAnsi" w:cs="Times New Roman"/>
          <w:sz w:val="22"/>
          <w:szCs w:val="22"/>
        </w:rPr>
      </w:pPr>
      <w:r w:rsidRPr="000D5ADF">
        <w:rPr>
          <w:rFonts w:asciiTheme="minorHAnsi" w:hAnsiTheme="minorHAnsi" w:cs="Times New Roman"/>
          <w:b/>
          <w:bCs/>
          <w:sz w:val="22"/>
          <w:szCs w:val="22"/>
        </w:rPr>
        <w:t>Cross-Validation</w:t>
      </w:r>
    </w:p>
    <w:p w14:paraId="5EF7289A" w14:textId="7D4F3139"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 xml:space="preserve">In addition to the static train/test split, panel-aware time series cross-validation will be implemented across 5 folds. Rather than using sklearn's standard TimeSeriesSplit </w:t>
      </w:r>
      <w:r w:rsidR="00494BAF" w:rsidRPr="000D5ADF">
        <w:rPr>
          <w:rFonts w:asciiTheme="minorHAnsi" w:hAnsiTheme="minorHAnsi" w:cs="Times New Roman"/>
          <w:sz w:val="22"/>
          <w:szCs w:val="22"/>
        </w:rPr>
        <w:t>(</w:t>
      </w:r>
      <w:r w:rsidRPr="000D5ADF">
        <w:rPr>
          <w:rFonts w:asciiTheme="minorHAnsi" w:hAnsiTheme="minorHAnsi" w:cs="Times New Roman"/>
          <w:sz w:val="22"/>
          <w:szCs w:val="22"/>
        </w:rPr>
        <w:t xml:space="preserve"> which splits by row count and can place different geographic regions from the same week into different folds, creating contemporaneous spatial leakage</w:t>
      </w:r>
      <w:r w:rsidR="00494BAF" w:rsidRPr="000D5ADF">
        <w:rPr>
          <w:rFonts w:asciiTheme="minorHAnsi" w:hAnsiTheme="minorHAnsi" w:cs="Times New Roman"/>
          <w:sz w:val="22"/>
          <w:szCs w:val="22"/>
        </w:rPr>
        <w:t>)</w:t>
      </w:r>
      <w:r w:rsidRPr="000D5ADF">
        <w:rPr>
          <w:rFonts w:asciiTheme="minorHAnsi" w:hAnsiTheme="minorHAnsi" w:cs="Times New Roman"/>
          <w:sz w:val="22"/>
          <w:szCs w:val="22"/>
        </w:rPr>
        <w:t xml:space="preserve"> folds will be defined by unique dates, ensuring all regions for a given week remain together in either the training or test block. This will provide mean and standard deviation performance estimates across multiple historical cut-off points, proving model generalizability across different seasons and years.</w:t>
      </w:r>
    </w:p>
    <w:p w14:paraId="4ADD8D89" w14:textId="77777777" w:rsidR="00CB456A" w:rsidRPr="000D5ADF" w:rsidRDefault="00000000">
      <w:pPr>
        <w:pStyle w:val="Heading1"/>
        <w:rPr>
          <w:rFonts w:asciiTheme="minorHAnsi" w:hAnsiTheme="minorHAnsi" w:cs="Times New Roman"/>
          <w:sz w:val="22"/>
          <w:szCs w:val="22"/>
        </w:rPr>
      </w:pPr>
      <w:r w:rsidRPr="000D5ADF">
        <w:rPr>
          <w:rFonts w:asciiTheme="minorHAnsi" w:hAnsiTheme="minorHAnsi" w:cs="Times New Roman"/>
          <w:sz w:val="22"/>
          <w:szCs w:val="22"/>
        </w:rPr>
        <w:t>4. Impact &amp; Justification</w:t>
      </w:r>
    </w:p>
    <w:p w14:paraId="308BA8B2" w14:textId="38F458A3"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Hospital surge events carry significant clinical and operational consequences. Early identification of high-risk periods enables proactive staffing adjustments, elective procedure deferrals, and inter-facility patient transfers</w:t>
      </w:r>
      <w:r w:rsidR="007F7E00">
        <w:rPr>
          <w:rFonts w:asciiTheme="minorHAnsi" w:hAnsiTheme="minorHAnsi" w:cs="Times New Roman"/>
          <w:sz w:val="22"/>
          <w:szCs w:val="22"/>
        </w:rPr>
        <w:t>, i</w:t>
      </w:r>
      <w:r w:rsidRPr="000D5ADF">
        <w:rPr>
          <w:rFonts w:asciiTheme="minorHAnsi" w:hAnsiTheme="minorHAnsi" w:cs="Times New Roman"/>
          <w:sz w:val="22"/>
          <w:szCs w:val="22"/>
        </w:rPr>
        <w:t>nterventions that are far more effective when initiated before a surge reaches critical levels. A validated, interpretable surge prediction model could be integrated directly into hospital operations dashboards, providing administrators with data-driven early warnings calibrated to their regional risk profile.</w:t>
      </w:r>
    </w:p>
    <w:p w14:paraId="78D38C07" w14:textId="2F1CBEC3"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 xml:space="preserve">The two-layer evaluation framework will provide a nuanced answer to the research question. By directly comparing SARIMA's continuous forecasting performance against ML regressors, and its </w:t>
      </w:r>
      <w:r w:rsidR="007F7E00" w:rsidRPr="000D5ADF">
        <w:rPr>
          <w:rFonts w:asciiTheme="minorHAnsi" w:hAnsiTheme="minorHAnsi" w:cs="Times New Roman"/>
          <w:sz w:val="22"/>
          <w:szCs w:val="22"/>
        </w:rPr>
        <w:t>thresholder</w:t>
      </w:r>
      <w:r w:rsidRPr="000D5ADF">
        <w:rPr>
          <w:rFonts w:asciiTheme="minorHAnsi" w:hAnsiTheme="minorHAnsi" w:cs="Times New Roman"/>
          <w:sz w:val="22"/>
          <w:szCs w:val="22"/>
        </w:rPr>
        <w:t xml:space="preserve"> classification performance against dedicated ML classifiers, this project will establish whether deterministic ML approaches are sufficient for large-scale surge detection or whether probabilistic uncertainty estimates remain necessary for clinically safe deployment.</w:t>
      </w:r>
    </w:p>
    <w:p w14:paraId="66AFE0CD" w14:textId="798DBF30"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The clustering analysis will reveal whether surge prediction models require region-specific calibration</w:t>
      </w:r>
      <w:r w:rsidR="00494BAF" w:rsidRPr="000D5ADF">
        <w:rPr>
          <w:rFonts w:asciiTheme="minorHAnsi" w:hAnsiTheme="minorHAnsi" w:cs="Times New Roman"/>
          <w:sz w:val="22"/>
          <w:szCs w:val="22"/>
        </w:rPr>
        <w:t xml:space="preserve">, </w:t>
      </w:r>
      <w:r w:rsidRPr="000D5ADF">
        <w:rPr>
          <w:rFonts w:asciiTheme="minorHAnsi" w:hAnsiTheme="minorHAnsi" w:cs="Times New Roman"/>
          <w:sz w:val="22"/>
          <w:szCs w:val="22"/>
        </w:rPr>
        <w:t xml:space="preserve">a finding with direct operational implications for national hospital capacity planning systems. If distinct regional profiles emerge with meaningfully different surge rates, this will motivate the development of cluster-specific models rather than a single </w:t>
      </w:r>
      <w:r w:rsidR="00494BAF" w:rsidRPr="000D5ADF">
        <w:rPr>
          <w:rFonts w:asciiTheme="minorHAnsi" w:hAnsiTheme="minorHAnsi" w:cs="Times New Roman"/>
          <w:sz w:val="22"/>
          <w:szCs w:val="22"/>
        </w:rPr>
        <w:t>nationally deployed</w:t>
      </w:r>
      <w:r w:rsidRPr="000D5ADF">
        <w:rPr>
          <w:rFonts w:asciiTheme="minorHAnsi" w:hAnsiTheme="minorHAnsi" w:cs="Times New Roman"/>
          <w:sz w:val="22"/>
          <w:szCs w:val="22"/>
        </w:rPr>
        <w:t xml:space="preserve"> system.</w:t>
      </w:r>
    </w:p>
    <w:p w14:paraId="045006D9" w14:textId="2555D033" w:rsidR="00CB456A" w:rsidRPr="000D5ADF"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t xml:space="preserve">The hybrid architecture </w:t>
      </w:r>
      <w:r w:rsidR="00494BAF" w:rsidRPr="000D5ADF">
        <w:rPr>
          <w:rFonts w:asciiTheme="minorHAnsi" w:hAnsiTheme="minorHAnsi" w:cs="Times New Roman"/>
          <w:sz w:val="22"/>
          <w:szCs w:val="22"/>
        </w:rPr>
        <w:t>(</w:t>
      </w:r>
      <w:r w:rsidRPr="000D5ADF">
        <w:rPr>
          <w:rFonts w:asciiTheme="minorHAnsi" w:hAnsiTheme="minorHAnsi" w:cs="Times New Roman"/>
          <w:sz w:val="22"/>
          <w:szCs w:val="22"/>
        </w:rPr>
        <w:t>constructed as a true stacking ensemble using expanding window SARIMA forecasts</w:t>
      </w:r>
      <w:r w:rsidR="00494BAF" w:rsidRPr="000D5ADF">
        <w:rPr>
          <w:rFonts w:asciiTheme="minorHAnsi" w:hAnsiTheme="minorHAnsi" w:cs="Times New Roman"/>
          <w:sz w:val="22"/>
          <w:szCs w:val="22"/>
        </w:rPr>
        <w:t xml:space="preserve">) </w:t>
      </w:r>
      <w:r w:rsidRPr="000D5ADF">
        <w:rPr>
          <w:rFonts w:asciiTheme="minorHAnsi" w:hAnsiTheme="minorHAnsi" w:cs="Times New Roman"/>
          <w:sz w:val="22"/>
          <w:szCs w:val="22"/>
        </w:rPr>
        <w:t>will provide evidence on whether combining probabilistic uncertainty quantification with ML feature richness produces measurable improvements over either approach alone. SHAP interpretability analysis will further ensure that model predictions can be explained to clinical stakeholders in terms of specific, actionable features.</w:t>
      </w:r>
    </w:p>
    <w:p w14:paraId="15C33643" w14:textId="67577E1A" w:rsidR="00237457" w:rsidRPr="00D7559B" w:rsidRDefault="00000000">
      <w:pPr>
        <w:spacing w:after="160"/>
        <w:rPr>
          <w:rFonts w:asciiTheme="minorHAnsi" w:hAnsiTheme="minorHAnsi" w:cs="Times New Roman"/>
          <w:sz w:val="22"/>
          <w:szCs w:val="22"/>
        </w:rPr>
      </w:pPr>
      <w:r w:rsidRPr="000D5ADF">
        <w:rPr>
          <w:rFonts w:asciiTheme="minorHAnsi" w:hAnsiTheme="minorHAnsi" w:cs="Times New Roman"/>
          <w:sz w:val="22"/>
          <w:szCs w:val="22"/>
        </w:rPr>
        <w:lastRenderedPageBreak/>
        <w:t>If proven effective, this framework could be extended to patient-level data from sources such as MIMIC-IV, and benchmarked against deep learning approaches such as LSTM</w:t>
      </w:r>
      <w:r w:rsidR="000D48D2">
        <w:rPr>
          <w:rFonts w:asciiTheme="minorHAnsi" w:hAnsiTheme="minorHAnsi" w:cs="Times New Roman"/>
          <w:sz w:val="22"/>
          <w:szCs w:val="22"/>
        </w:rPr>
        <w:t>.</w:t>
      </w:r>
    </w:p>
    <w:sectPr w:rsidR="00237457" w:rsidRPr="00D7559B">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AFE02" w14:textId="77777777" w:rsidR="00B26610" w:rsidRDefault="00B26610" w:rsidP="00684BD6">
      <w:r>
        <w:separator/>
      </w:r>
    </w:p>
  </w:endnote>
  <w:endnote w:type="continuationSeparator" w:id="0">
    <w:p w14:paraId="584F0EC2" w14:textId="77777777" w:rsidR="00B26610" w:rsidRDefault="00B26610" w:rsidP="00684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3D35C" w14:textId="77777777" w:rsidR="00B26610" w:rsidRDefault="00B26610" w:rsidP="00684BD6">
      <w:r>
        <w:separator/>
      </w:r>
    </w:p>
  </w:footnote>
  <w:footnote w:type="continuationSeparator" w:id="0">
    <w:p w14:paraId="7632597B" w14:textId="77777777" w:rsidR="00B26610" w:rsidRDefault="00B26610" w:rsidP="00684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B886" w14:textId="1E4C7AC8" w:rsidR="00684BD6" w:rsidRDefault="00684BD6">
    <w:pPr>
      <w:pStyle w:val="Header"/>
    </w:pPr>
    <w:r>
      <w:t>Ronak Singh</w:t>
    </w:r>
  </w:p>
  <w:p w14:paraId="2D3BF07D" w14:textId="77777777" w:rsidR="00684BD6" w:rsidRDefault="00684B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E1DF0"/>
    <w:multiLevelType w:val="hybridMultilevel"/>
    <w:tmpl w:val="3822D708"/>
    <w:lvl w:ilvl="0" w:tplc="F800D578">
      <w:start w:val="1"/>
      <w:numFmt w:val="bullet"/>
      <w:lvlText w:val="●"/>
      <w:lvlJc w:val="left"/>
      <w:pPr>
        <w:ind w:left="720" w:hanging="360"/>
      </w:pPr>
    </w:lvl>
    <w:lvl w:ilvl="1" w:tplc="F98C1764">
      <w:start w:val="1"/>
      <w:numFmt w:val="bullet"/>
      <w:lvlText w:val="○"/>
      <w:lvlJc w:val="left"/>
      <w:pPr>
        <w:ind w:left="1440" w:hanging="360"/>
      </w:pPr>
    </w:lvl>
    <w:lvl w:ilvl="2" w:tplc="A6F6A96E">
      <w:start w:val="1"/>
      <w:numFmt w:val="bullet"/>
      <w:lvlText w:val="■"/>
      <w:lvlJc w:val="left"/>
      <w:pPr>
        <w:ind w:left="2160" w:hanging="360"/>
      </w:pPr>
    </w:lvl>
    <w:lvl w:ilvl="3" w:tplc="5F4680FC">
      <w:start w:val="1"/>
      <w:numFmt w:val="bullet"/>
      <w:lvlText w:val="●"/>
      <w:lvlJc w:val="left"/>
      <w:pPr>
        <w:ind w:left="2880" w:hanging="360"/>
      </w:pPr>
    </w:lvl>
    <w:lvl w:ilvl="4" w:tplc="B808A880">
      <w:start w:val="1"/>
      <w:numFmt w:val="bullet"/>
      <w:lvlText w:val="○"/>
      <w:lvlJc w:val="left"/>
      <w:pPr>
        <w:ind w:left="3600" w:hanging="360"/>
      </w:pPr>
    </w:lvl>
    <w:lvl w:ilvl="5" w:tplc="C996F992">
      <w:start w:val="1"/>
      <w:numFmt w:val="bullet"/>
      <w:lvlText w:val="■"/>
      <w:lvlJc w:val="left"/>
      <w:pPr>
        <w:ind w:left="4320" w:hanging="360"/>
      </w:pPr>
    </w:lvl>
    <w:lvl w:ilvl="6" w:tplc="DBB8BCA0">
      <w:start w:val="1"/>
      <w:numFmt w:val="bullet"/>
      <w:lvlText w:val="●"/>
      <w:lvlJc w:val="left"/>
      <w:pPr>
        <w:ind w:left="5040" w:hanging="360"/>
      </w:pPr>
    </w:lvl>
    <w:lvl w:ilvl="7" w:tplc="BE32186E">
      <w:start w:val="1"/>
      <w:numFmt w:val="bullet"/>
      <w:lvlText w:val="●"/>
      <w:lvlJc w:val="left"/>
      <w:pPr>
        <w:ind w:left="5760" w:hanging="360"/>
      </w:pPr>
    </w:lvl>
    <w:lvl w:ilvl="8" w:tplc="9F004F70">
      <w:start w:val="1"/>
      <w:numFmt w:val="bullet"/>
      <w:lvlText w:val="●"/>
      <w:lvlJc w:val="left"/>
      <w:pPr>
        <w:ind w:left="6480" w:hanging="360"/>
      </w:pPr>
    </w:lvl>
  </w:abstractNum>
  <w:abstractNum w:abstractNumId="1" w15:restartNumberingAfterBreak="0">
    <w:nsid w:val="5CDF2357"/>
    <w:multiLevelType w:val="hybridMultilevel"/>
    <w:tmpl w:val="F1F838F2"/>
    <w:lvl w:ilvl="0" w:tplc="EF9E2F0A">
      <w:start w:val="1"/>
      <w:numFmt w:val="bullet"/>
      <w:lvlText w:val="•"/>
      <w:lvlJc w:val="left"/>
      <w:pPr>
        <w:ind w:left="720" w:hanging="360"/>
      </w:pPr>
    </w:lvl>
    <w:lvl w:ilvl="1" w:tplc="1D803678">
      <w:numFmt w:val="decimal"/>
      <w:lvlText w:val=""/>
      <w:lvlJc w:val="left"/>
    </w:lvl>
    <w:lvl w:ilvl="2" w:tplc="F0407BB6">
      <w:numFmt w:val="decimal"/>
      <w:lvlText w:val=""/>
      <w:lvlJc w:val="left"/>
    </w:lvl>
    <w:lvl w:ilvl="3" w:tplc="686C6F86">
      <w:numFmt w:val="decimal"/>
      <w:lvlText w:val=""/>
      <w:lvlJc w:val="left"/>
    </w:lvl>
    <w:lvl w:ilvl="4" w:tplc="D1AEA4A0">
      <w:numFmt w:val="decimal"/>
      <w:lvlText w:val=""/>
      <w:lvlJc w:val="left"/>
    </w:lvl>
    <w:lvl w:ilvl="5" w:tplc="182E2302">
      <w:numFmt w:val="decimal"/>
      <w:lvlText w:val=""/>
      <w:lvlJc w:val="left"/>
    </w:lvl>
    <w:lvl w:ilvl="6" w:tplc="745EC306">
      <w:numFmt w:val="decimal"/>
      <w:lvlText w:val=""/>
      <w:lvlJc w:val="left"/>
    </w:lvl>
    <w:lvl w:ilvl="7" w:tplc="490A6BB2">
      <w:numFmt w:val="decimal"/>
      <w:lvlText w:val=""/>
      <w:lvlJc w:val="left"/>
    </w:lvl>
    <w:lvl w:ilvl="8" w:tplc="227E84FE">
      <w:numFmt w:val="decimal"/>
      <w:lvlText w:val=""/>
      <w:lvlJc w:val="left"/>
    </w:lvl>
  </w:abstractNum>
  <w:abstractNum w:abstractNumId="2" w15:restartNumberingAfterBreak="0">
    <w:nsid w:val="6DBB771C"/>
    <w:multiLevelType w:val="hybridMultilevel"/>
    <w:tmpl w:val="58563762"/>
    <w:lvl w:ilvl="0" w:tplc="38D0CD92">
      <w:start w:val="1"/>
      <w:numFmt w:val="decimal"/>
      <w:lvlText w:val="%1."/>
      <w:lvlJc w:val="left"/>
      <w:pPr>
        <w:ind w:left="720" w:hanging="360"/>
      </w:pPr>
    </w:lvl>
    <w:lvl w:ilvl="1" w:tplc="045A4672">
      <w:numFmt w:val="decimal"/>
      <w:lvlText w:val=""/>
      <w:lvlJc w:val="left"/>
    </w:lvl>
    <w:lvl w:ilvl="2" w:tplc="E7321856">
      <w:numFmt w:val="decimal"/>
      <w:lvlText w:val=""/>
      <w:lvlJc w:val="left"/>
    </w:lvl>
    <w:lvl w:ilvl="3" w:tplc="07C6BAD0">
      <w:numFmt w:val="decimal"/>
      <w:lvlText w:val=""/>
      <w:lvlJc w:val="left"/>
    </w:lvl>
    <w:lvl w:ilvl="4" w:tplc="5B842B26">
      <w:numFmt w:val="decimal"/>
      <w:lvlText w:val=""/>
      <w:lvlJc w:val="left"/>
    </w:lvl>
    <w:lvl w:ilvl="5" w:tplc="AF92F9DA">
      <w:numFmt w:val="decimal"/>
      <w:lvlText w:val=""/>
      <w:lvlJc w:val="left"/>
    </w:lvl>
    <w:lvl w:ilvl="6" w:tplc="A4166EE8">
      <w:numFmt w:val="decimal"/>
      <w:lvlText w:val=""/>
      <w:lvlJc w:val="left"/>
    </w:lvl>
    <w:lvl w:ilvl="7" w:tplc="20B40236">
      <w:numFmt w:val="decimal"/>
      <w:lvlText w:val=""/>
      <w:lvlJc w:val="left"/>
    </w:lvl>
    <w:lvl w:ilvl="8" w:tplc="0CC657EC">
      <w:numFmt w:val="decimal"/>
      <w:lvlText w:val=""/>
      <w:lvlJc w:val="left"/>
    </w:lvl>
  </w:abstractNum>
  <w:num w:numId="1" w16cid:durableId="1827554170">
    <w:abstractNumId w:val="0"/>
    <w:lvlOverride w:ilvl="0">
      <w:startOverride w:val="1"/>
    </w:lvlOverride>
  </w:num>
  <w:num w:numId="2" w16cid:durableId="277182882">
    <w:abstractNumId w:val="1"/>
    <w:lvlOverride w:ilvl="0">
      <w:startOverride w:val="1"/>
    </w:lvlOverride>
  </w:num>
  <w:num w:numId="3" w16cid:durableId="12663048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56A"/>
    <w:rsid w:val="000D326B"/>
    <w:rsid w:val="000D48D2"/>
    <w:rsid w:val="000D5ADF"/>
    <w:rsid w:val="000D6CA4"/>
    <w:rsid w:val="00237457"/>
    <w:rsid w:val="002575E0"/>
    <w:rsid w:val="0027712A"/>
    <w:rsid w:val="003B1B7C"/>
    <w:rsid w:val="003E53AD"/>
    <w:rsid w:val="00494BAF"/>
    <w:rsid w:val="004B51B0"/>
    <w:rsid w:val="004C0A68"/>
    <w:rsid w:val="00684BD6"/>
    <w:rsid w:val="007F7E00"/>
    <w:rsid w:val="008C20BF"/>
    <w:rsid w:val="008F1A5F"/>
    <w:rsid w:val="00930E23"/>
    <w:rsid w:val="00A7054F"/>
    <w:rsid w:val="00B26610"/>
    <w:rsid w:val="00B5731A"/>
    <w:rsid w:val="00CB456A"/>
    <w:rsid w:val="00D010DD"/>
    <w:rsid w:val="00D7559B"/>
    <w:rsid w:val="00DD45BB"/>
    <w:rsid w:val="00DE3D29"/>
    <w:rsid w:val="00E56F0F"/>
    <w:rsid w:val="00E82EE4"/>
    <w:rsid w:val="00EF2701"/>
    <w:rsid w:val="00F43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5A56F"/>
  <w15:docId w15:val="{C4B8368E-D59A-4B97-A790-C391D8C19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84BD6"/>
    <w:pPr>
      <w:tabs>
        <w:tab w:val="center" w:pos="4680"/>
        <w:tab w:val="right" w:pos="9360"/>
      </w:tabs>
    </w:pPr>
  </w:style>
  <w:style w:type="character" w:customStyle="1" w:styleId="HeaderChar">
    <w:name w:val="Header Char"/>
    <w:basedOn w:val="DefaultParagraphFont"/>
    <w:link w:val="Header"/>
    <w:uiPriority w:val="99"/>
    <w:rsid w:val="00684BD6"/>
  </w:style>
  <w:style w:type="paragraph" w:styleId="Footer">
    <w:name w:val="footer"/>
    <w:basedOn w:val="Normal"/>
    <w:link w:val="FooterChar"/>
    <w:uiPriority w:val="99"/>
    <w:unhideWhenUsed/>
    <w:rsid w:val="00684BD6"/>
    <w:pPr>
      <w:tabs>
        <w:tab w:val="center" w:pos="4680"/>
        <w:tab w:val="right" w:pos="9360"/>
      </w:tabs>
    </w:pPr>
  </w:style>
  <w:style w:type="character" w:customStyle="1" w:styleId="FooterChar">
    <w:name w:val="Footer Char"/>
    <w:basedOn w:val="DefaultParagraphFont"/>
    <w:link w:val="Footer"/>
    <w:uiPriority w:val="99"/>
    <w:rsid w:val="00684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62ADC-ECCD-4DBE-B1A9-BD2F26692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1876</Words>
  <Characters>10697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Ronak Singh</cp:lastModifiedBy>
  <cp:revision>29</cp:revision>
  <dcterms:created xsi:type="dcterms:W3CDTF">2026-03-09T22:53:00Z</dcterms:created>
  <dcterms:modified xsi:type="dcterms:W3CDTF">2026-03-10T00:04:00Z</dcterms:modified>
</cp:coreProperties>
</file>