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5F8473"/>
          <w:sz w:val="34"/>
        </w:rPr>
        <w:t>RONTAB</w:t>
      </w:r>
    </w:p>
    <w:p>
      <w:pPr>
        <w:pStyle w:val="Title"/>
        <w:jc w:val="center"/>
      </w:pPr>
      <w:r>
        <w:t>وثيقة مواصفات المنتج والمنصة</w:t>
      </w:r>
    </w:p>
    <w:p>
      <w:pPr>
        <w:jc w:val="center"/>
      </w:pPr>
      <w:r>
        <w:rPr>
          <w:i/>
          <w:color w:val="5A6464"/>
          <w:sz w:val="26"/>
        </w:rPr>
        <w:t>Product Requirements &amp; Technical Specification</w:t>
      </w:r>
    </w:p>
    <w:p>
      <w:pPr>
        <w:spacing w:before="320"/>
        <w:jc w:val="center"/>
      </w:pPr>
      <w:r>
        <w:rPr>
          <w:b/>
        </w:rPr>
        <w:t>الإصدار 1.0  |  11 أكتوبر 2026</w:t>
      </w:r>
    </w:p>
    <w:p>
      <w:pPr>
        <w:spacing w:before="1600"/>
        <w:jc w:val="center"/>
      </w:pPr>
      <w:r>
        <w:rPr>
          <w:sz w:val="22"/>
        </w:rPr>
        <w:t>وثيقة تأسيسية للتنفيذ باستخدام VS Code وGitHub Copilot</w:t>
      </w:r>
    </w:p>
    <w:p>
      <w:r>
        <w:br w:type="page"/>
      </w:r>
    </w:p>
    <w:p>
      <w:pPr>
        <w:pStyle w:val="Heading1"/>
      </w:pPr>
      <w:r>
        <w:t>1. الملخص التنفيذي</w:t>
      </w:r>
    </w:p>
    <w:p>
      <w:r>
        <w:t>Rontab منصة لاكتشاف المنتجات وعرضها، تبدأ بمنتجات المنزل والمطبخ في بريطانيا وأوروبا، مع تصميم تقني يسمح بإضافة تخصصات جديدة بعد الإطلاق. يضيف البائع منتجاته وروابط الشراء الخارجية، ويستطيع الزوار اكتشافها والانتقال إلى مواقع المتاجر. نموذج الدخل الأساسي هو اشتراك شهري للبائعين، مع نظام نقاط ولاء وشارات للزوار تديره الإدارة وفق قواعد شفافة.</w:t>
      </w:r>
    </w:p>
    <w:p>
      <w:pPr>
        <w:pStyle w:val="Heading2"/>
      </w:pPr>
      <w:r>
        <w:t>أهداف الإصدار الأول</w:t>
      </w:r>
    </w:p>
    <w:p>
      <w:pPr>
        <w:pStyle w:val="ListBullet"/>
        <w:spacing w:after="40"/>
      </w:pPr>
      <w:r>
        <w:t>إطلاق واجهة إنجليزية متجاوبة تركز على اكتشاف منتجات المنزل والمطبخ.</w:t>
      </w:r>
    </w:p>
    <w:p>
      <w:pPr>
        <w:pStyle w:val="ListBullet"/>
        <w:spacing w:after="40"/>
      </w:pPr>
      <w:r>
        <w:t>تمكين البائعين من إدارة منتجات متعددة التخصصات من حساب واحد.</w:t>
      </w:r>
    </w:p>
    <w:p>
      <w:pPr>
        <w:pStyle w:val="ListBullet"/>
        <w:spacing w:after="40"/>
      </w:pPr>
      <w:r>
        <w:t>توفير مراجعة إدارية للمنتجات وروابطها قبل النشر.</w:t>
      </w:r>
    </w:p>
    <w:p>
      <w:pPr>
        <w:pStyle w:val="ListBullet"/>
        <w:spacing w:after="40"/>
      </w:pPr>
      <w:r>
        <w:t>قياس النقرات المؤهلة على روابط المنتجات مع منع التكرار والتلاعب قدر الإمكان.</w:t>
      </w:r>
    </w:p>
    <w:p>
      <w:pPr>
        <w:pStyle w:val="ListBullet"/>
        <w:spacing w:after="40"/>
      </w:pPr>
      <w:r>
        <w:t>تقديم رصيد تجريبي محدود للبائعين ثم اشتراك شهري بموافقة صريحة.</w:t>
      </w:r>
    </w:p>
    <w:p>
      <w:pPr>
        <w:pStyle w:val="ListBullet"/>
        <w:spacing w:after="40"/>
      </w:pPr>
      <w:r>
        <w:t>توفير نقاط وشارات ولاء للزوار مع فصلها عن عدادات أداء البائع.</w:t>
      </w:r>
    </w:p>
    <w:p>
      <w:pPr>
        <w:pStyle w:val="Heading1"/>
      </w:pPr>
      <w:r>
        <w:t>2. الجمهور والسوق واللغة</w:t>
      </w:r>
    </w:p>
    <w:p>
      <w:pPr>
        <w:pStyle w:val="ListBullet"/>
        <w:spacing w:after="40"/>
      </w:pPr>
      <w:r>
        <w:t>السوق الأول: المملكة المتحدة وأوروبا.</w:t>
      </w:r>
    </w:p>
    <w:p>
      <w:pPr>
        <w:pStyle w:val="ListBullet"/>
        <w:spacing w:after="40"/>
      </w:pPr>
      <w:r>
        <w:t>لغة الواجهة عند الإطلاق: الإنجليزية.</w:t>
      </w:r>
    </w:p>
    <w:p>
      <w:pPr>
        <w:pStyle w:val="ListBullet"/>
        <w:spacing w:after="40"/>
      </w:pPr>
      <w:r>
        <w:t>عملة التسعير الأساسية المبدئية: GBP؛ يمكن دعم EUR لاحقًا.</w:t>
      </w:r>
    </w:p>
    <w:p>
      <w:pPr>
        <w:pStyle w:val="ListBullet"/>
        <w:spacing w:after="40"/>
      </w:pPr>
      <w:r>
        <w:t>الفئة الأولى: Home &amp; Kitchen.</w:t>
      </w:r>
    </w:p>
    <w:p>
      <w:pPr>
        <w:pStyle w:val="ListBullet"/>
        <w:spacing w:after="40"/>
      </w:pPr>
      <w:r>
        <w:t>تخصصات مستقبلية قابلة للإدارة من لوحة التحكم: Electronics, Beauty, Sports, Travel, Lifestyle وغيرها.</w:t>
      </w:r>
    </w:p>
    <w:p>
      <w:pPr>
        <w:pStyle w:val="ListBullet"/>
        <w:spacing w:after="40"/>
      </w:pPr>
      <w:r>
        <w:t>يستخدم البائع حسابًا واحدًا واشتراكًا واحدًا لإدارة منتجاته عبر تخصصات متعددة؛ حدود الباقة تحدد عدد المنتجات الإجمالي، لا عدد الأقسام.</w:t>
      </w:r>
    </w:p>
    <w:p>
      <w:pPr>
        <w:pStyle w:val="Heading1"/>
      </w:pPr>
      <w:r>
        <w:t>3. الأدوار والصلاحيات</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20463D"/>
          </w:tcPr>
          <w:p>
            <w:pPr>
              <w:spacing w:after="0"/>
            </w:pPr>
            <w:r/>
            <w:r>
              <w:rPr>
                <w:b/>
                <w:color w:val="FFFFFF"/>
              </w:rPr>
              <w:t>الدور</w:t>
            </w:r>
          </w:p>
        </w:tc>
        <w:tc>
          <w:tcPr>
            <w:tcW w:type="dxa" w:w="3312"/>
            <w:vAlign w:val="center"/>
            <w:shd w:fill="20463D"/>
          </w:tcPr>
          <w:p>
            <w:pPr>
              <w:spacing w:after="0"/>
            </w:pPr>
            <w:r/>
            <w:r>
              <w:rPr>
                <w:b/>
                <w:color w:val="FFFFFF"/>
              </w:rPr>
              <w:t>الصلاحيات الأساسية</w:t>
            </w:r>
          </w:p>
        </w:tc>
        <w:tc>
          <w:tcPr>
            <w:tcW w:type="dxa" w:w="3312"/>
            <w:vAlign w:val="center"/>
            <w:shd w:fill="20463D"/>
          </w:tcPr>
          <w:p>
            <w:pPr>
              <w:spacing w:after="0"/>
            </w:pPr>
            <w:r/>
            <w:r>
              <w:rPr>
                <w:b/>
                <w:color w:val="FFFFFF"/>
              </w:rPr>
              <w:t>القيود</w:t>
            </w:r>
          </w:p>
        </w:tc>
      </w:tr>
      <w:tr>
        <w:tc>
          <w:tcPr>
            <w:tcW w:type="dxa" w:w="3312"/>
            <w:vAlign w:val="center"/>
          </w:tcPr>
          <w:p>
            <w:pPr>
              <w:spacing w:after="0"/>
            </w:pPr>
            <w:r/>
            <w:r>
              <w:rPr>
                <w:b w:val="0"/>
              </w:rPr>
              <w:t>زائر غير مسجل</w:t>
            </w:r>
          </w:p>
        </w:tc>
        <w:tc>
          <w:tcPr>
            <w:tcW w:type="dxa" w:w="3312"/>
            <w:vAlign w:val="center"/>
          </w:tcPr>
          <w:p>
            <w:pPr>
              <w:spacing w:after="0"/>
            </w:pPr>
            <w:r/>
            <w:r>
              <w:rPr>
                <w:b w:val="0"/>
              </w:rPr>
              <w:t>تصفح المنتجات والأقسام والبحث وفتح صفحات المنتجات.</w:t>
            </w:r>
          </w:p>
        </w:tc>
        <w:tc>
          <w:tcPr>
            <w:tcW w:type="dxa" w:w="3312"/>
            <w:vAlign w:val="center"/>
          </w:tcPr>
          <w:p>
            <w:pPr>
              <w:spacing w:after="0"/>
            </w:pPr>
            <w:r/>
            <w:r>
              <w:rPr>
                <w:b w:val="0"/>
              </w:rPr>
              <w:t>لا يدير منتجات ولا يستلم نقاط ولاء مرتبطة بحساب إلا وفق السياسة.</w:t>
            </w:r>
          </w:p>
        </w:tc>
      </w:tr>
      <w:tr>
        <w:tc>
          <w:tcPr>
            <w:tcW w:type="dxa" w:w="3312"/>
            <w:vAlign w:val="center"/>
          </w:tcPr>
          <w:p>
            <w:pPr>
              <w:spacing w:after="0"/>
            </w:pPr>
            <w:r/>
            <w:r>
              <w:rPr>
                <w:b w:val="0"/>
              </w:rPr>
              <w:t>مستخدم/متسوق</w:t>
            </w:r>
          </w:p>
        </w:tc>
        <w:tc>
          <w:tcPr>
            <w:tcW w:type="dxa" w:w="3312"/>
            <w:vAlign w:val="center"/>
          </w:tcPr>
          <w:p>
            <w:pPr>
              <w:spacing w:after="0"/>
            </w:pPr>
            <w:r/>
            <w:r>
              <w:rPr>
                <w:b w:val="0"/>
              </w:rPr>
              <w:t>ملف شخصي، رصيد نقاط، شارات، سجل النشاط، مشاهدة بطاقة المكافأة عند منحها.</w:t>
            </w:r>
          </w:p>
        </w:tc>
        <w:tc>
          <w:tcPr>
            <w:tcW w:type="dxa" w:w="3312"/>
            <w:vAlign w:val="center"/>
          </w:tcPr>
          <w:p>
            <w:pPr>
              <w:spacing w:after="0"/>
            </w:pPr>
            <w:r/>
            <w:r>
              <w:rPr>
                <w:b w:val="0"/>
              </w:rPr>
              <w:t>لا يستطيع تعديل رصيد النقاط أو إصدار المكافآت لنفسه.</w:t>
            </w:r>
          </w:p>
        </w:tc>
      </w:tr>
      <w:tr>
        <w:tc>
          <w:tcPr>
            <w:tcW w:type="dxa" w:w="3312"/>
            <w:vAlign w:val="center"/>
          </w:tcPr>
          <w:p>
            <w:pPr>
              <w:spacing w:after="0"/>
            </w:pPr>
            <w:r/>
            <w:r>
              <w:rPr>
                <w:b w:val="0"/>
              </w:rPr>
              <w:t>بائع</w:t>
            </w:r>
          </w:p>
        </w:tc>
        <w:tc>
          <w:tcPr>
            <w:tcW w:type="dxa" w:w="3312"/>
            <w:vAlign w:val="center"/>
          </w:tcPr>
          <w:p>
            <w:pPr>
              <w:spacing w:after="0"/>
            </w:pPr>
            <w:r/>
            <w:r>
              <w:rPr>
                <w:b w:val="0"/>
              </w:rPr>
              <w:t>إدارة الملف التجاري والمنتجات والصور وروابط المتاجر ومشاهدة إحصائيات النقرات وإدارة الاشتراك.</w:t>
            </w:r>
          </w:p>
        </w:tc>
        <w:tc>
          <w:tcPr>
            <w:tcW w:type="dxa" w:w="3312"/>
            <w:vAlign w:val="center"/>
          </w:tcPr>
          <w:p>
            <w:pPr>
              <w:spacing w:after="0"/>
            </w:pPr>
            <w:r/>
            <w:r>
              <w:rPr>
                <w:b w:val="0"/>
              </w:rPr>
              <w:t>لا يراجع أو يعتمد منتجاته بنفسه ولا يغير سجلات النقرات.</w:t>
            </w:r>
          </w:p>
        </w:tc>
      </w:tr>
      <w:tr>
        <w:tc>
          <w:tcPr>
            <w:tcW w:type="dxa" w:w="3312"/>
            <w:vAlign w:val="center"/>
          </w:tcPr>
          <w:p>
            <w:pPr>
              <w:spacing w:after="0"/>
            </w:pPr>
            <w:r/>
            <w:r>
              <w:rPr>
                <w:b w:val="0"/>
              </w:rPr>
              <w:t>مدير محتوى/مراجع</w:t>
            </w:r>
          </w:p>
        </w:tc>
        <w:tc>
          <w:tcPr>
            <w:tcW w:type="dxa" w:w="3312"/>
            <w:vAlign w:val="center"/>
          </w:tcPr>
          <w:p>
            <w:pPr>
              <w:spacing w:after="0"/>
            </w:pPr>
            <w:r/>
            <w:r>
              <w:rPr>
                <w:b w:val="0"/>
              </w:rPr>
              <w:t>مراجعة المنتجات والتصنيفات والإبلاغ عن محتوى مخالف.</w:t>
            </w:r>
          </w:p>
        </w:tc>
        <w:tc>
          <w:tcPr>
            <w:tcW w:type="dxa" w:w="3312"/>
            <w:vAlign w:val="center"/>
          </w:tcPr>
          <w:p>
            <w:pPr>
              <w:spacing w:after="0"/>
            </w:pPr>
            <w:r/>
            <w:r>
              <w:rPr>
                <w:b w:val="0"/>
              </w:rPr>
              <w:t>لا يصل لبيانات الدفع الحساسة ولا يغير صلاحيات المالك.</w:t>
            </w:r>
          </w:p>
        </w:tc>
      </w:tr>
      <w:tr>
        <w:tc>
          <w:tcPr>
            <w:tcW w:type="dxa" w:w="3312"/>
            <w:vAlign w:val="center"/>
          </w:tcPr>
          <w:p>
            <w:pPr>
              <w:spacing w:after="0"/>
            </w:pPr>
            <w:r/>
            <w:r>
              <w:rPr>
                <w:b w:val="0"/>
              </w:rPr>
              <w:t>مدير المنصة</w:t>
            </w:r>
          </w:p>
        </w:tc>
        <w:tc>
          <w:tcPr>
            <w:tcW w:type="dxa" w:w="3312"/>
            <w:vAlign w:val="center"/>
          </w:tcPr>
          <w:p>
            <w:pPr>
              <w:spacing w:after="0"/>
            </w:pPr>
            <w:r/>
            <w:r>
              <w:rPr>
                <w:b w:val="0"/>
              </w:rPr>
              <w:t>إدارة المستخدمين والبائعين والتصنيفات والباقات وقواعد النقاط والمكافآت والمراجعة والسجلات.</w:t>
            </w:r>
          </w:p>
        </w:tc>
        <w:tc>
          <w:tcPr>
            <w:tcW w:type="dxa" w:w="3312"/>
            <w:vAlign w:val="center"/>
          </w:tcPr>
          <w:p>
            <w:pPr>
              <w:spacing w:after="0"/>
            </w:pPr>
            <w:r/>
            <w:r>
              <w:rPr>
                <w:b w:val="0"/>
              </w:rPr>
              <w:t>كل إجراء إداري حساس يجب تسجيله في Audit Log.</w:t>
            </w:r>
          </w:p>
        </w:tc>
      </w:tr>
    </w:tbl>
    <w:p>
      <w:pPr>
        <w:pStyle w:val="Heading1"/>
      </w:pPr>
      <w:r>
        <w:t>4. الصفحات والواجهات</w:t>
      </w:r>
    </w:p>
    <w:p>
      <w:pPr>
        <w:pStyle w:val="Heading2"/>
      </w:pPr>
      <w:r>
        <w:t>واجهة الزائر العامة</w:t>
      </w:r>
    </w:p>
    <w:p>
      <w:pPr>
        <w:pStyle w:val="ListBullet"/>
        <w:spacing w:after="40"/>
      </w:pPr>
      <w:r>
        <w:t>الصفحة الرئيسية: رسالة تعريفية، بحث، أقسام بارزة، منتجات مختارة، ودعوة للبائعين.</w:t>
      </w:r>
    </w:p>
    <w:p>
      <w:pPr>
        <w:pStyle w:val="ListBullet"/>
        <w:spacing w:after="40"/>
      </w:pPr>
      <w:r>
        <w:t>صفحات الأقسام والتصنيفات الفرعية.</w:t>
      </w:r>
    </w:p>
    <w:p>
      <w:pPr>
        <w:pStyle w:val="ListBullet"/>
        <w:spacing w:after="40"/>
      </w:pPr>
      <w:r>
        <w:t>نتائج البحث مع فلاتر قابلة للتوسع.</w:t>
      </w:r>
    </w:p>
    <w:p>
      <w:pPr>
        <w:pStyle w:val="ListBullet"/>
        <w:spacing w:after="40"/>
      </w:pPr>
      <w:r>
        <w:t>صفحة تفاصيل المنتج: الصور والوصف والسعر والعملة إن توفروا، اسم البائع، ورابط خارجي واضح.</w:t>
      </w:r>
    </w:p>
    <w:p>
      <w:pPr>
        <w:pStyle w:val="ListBullet"/>
        <w:spacing w:after="40"/>
      </w:pPr>
      <w:r>
        <w:t>صفحة المتجر/البائع العامة.</w:t>
      </w:r>
    </w:p>
    <w:p>
      <w:pPr>
        <w:pStyle w:val="ListBullet"/>
        <w:spacing w:after="40"/>
      </w:pPr>
      <w:r>
        <w:t>صفحات About, Contact, Privacy, Terms, Cookie Preferences, Seller Terms.</w:t>
      </w:r>
    </w:p>
    <w:p>
      <w:pPr>
        <w:pStyle w:val="Heading2"/>
      </w:pPr>
      <w:r>
        <w:t>لوحة البائع</w:t>
      </w:r>
    </w:p>
    <w:p>
      <w:pPr>
        <w:pStyle w:val="ListBullet"/>
        <w:spacing w:after="40"/>
      </w:pPr>
      <w:r>
        <w:t>ملخص الأداء: المنتجات المنشورة والمعلقة والنقرات المؤهلة.</w:t>
      </w:r>
    </w:p>
    <w:p>
      <w:pPr>
        <w:pStyle w:val="ListBullet"/>
        <w:spacing w:after="40"/>
      </w:pPr>
      <w:r>
        <w:t>قائمة المنتجات: إضافة، تعديل، أرشفة، وحالة المراجعة.</w:t>
      </w:r>
    </w:p>
    <w:p>
      <w:pPr>
        <w:pStyle w:val="ListBullet"/>
        <w:spacing w:after="40"/>
      </w:pPr>
      <w:r>
        <w:t>رفع الصور مع التحقق من النوع والحجم.</w:t>
      </w:r>
    </w:p>
    <w:p>
      <w:pPr>
        <w:pStyle w:val="ListBullet"/>
        <w:spacing w:after="40"/>
      </w:pPr>
      <w:r>
        <w:t>إدخال رابط المنتج الخارجي والتحقق من صيغته.</w:t>
      </w:r>
    </w:p>
    <w:p>
      <w:pPr>
        <w:pStyle w:val="ListBullet"/>
        <w:spacing w:after="40"/>
      </w:pPr>
      <w:r>
        <w:t>إحصائيات لكل منتج مع تعريف واضح لما تعنيه النقرة المؤهلة.</w:t>
      </w:r>
    </w:p>
    <w:p>
      <w:pPr>
        <w:pStyle w:val="ListBullet"/>
        <w:spacing w:after="40"/>
      </w:pPr>
      <w:r>
        <w:t>الاشتراك الحالي، حد المنتجات، الفواتير، الإلغاء، وحالة الرصيد المجاني.</w:t>
      </w:r>
    </w:p>
    <w:p>
      <w:pPr>
        <w:pStyle w:val="Heading2"/>
      </w:pPr>
      <w:r>
        <w:t>لوحة الإدارة</w:t>
      </w:r>
    </w:p>
    <w:p>
      <w:pPr>
        <w:pStyle w:val="ListBullet"/>
        <w:spacing w:after="40"/>
      </w:pPr>
      <w:r>
        <w:t>Dashboard: مؤشرات إجمالية ونشاط حديث.</w:t>
      </w:r>
    </w:p>
    <w:p>
      <w:pPr>
        <w:pStyle w:val="ListBullet"/>
        <w:spacing w:after="40"/>
      </w:pPr>
      <w:r>
        <w:t>إدارة المستخدمين والبائعين والصلاحيات والحظر والاستئناف.</w:t>
      </w:r>
    </w:p>
    <w:p>
      <w:pPr>
        <w:pStyle w:val="ListBullet"/>
        <w:spacing w:after="40"/>
      </w:pPr>
      <w:r>
        <w:t>إدارة المنتجات والمراجعة والبلاغات.</w:t>
      </w:r>
    </w:p>
    <w:p>
      <w:pPr>
        <w:pStyle w:val="ListBullet"/>
        <w:spacing w:after="40"/>
      </w:pPr>
      <w:r>
        <w:t>Categories Management: إضافة أقسام وفرعية، وصف، صورة، حالة النشر، وترتيب.</w:t>
      </w:r>
    </w:p>
    <w:p>
      <w:pPr>
        <w:pStyle w:val="ListBullet"/>
        <w:spacing w:after="40"/>
      </w:pPr>
      <w:r>
        <w:t>Plans &amp; Billing: الباقات والأسعار وحدود المنتجات وحالات الاشتراك.</w:t>
      </w:r>
    </w:p>
    <w:p>
      <w:pPr>
        <w:pStyle w:val="ListBullet"/>
        <w:spacing w:after="40"/>
      </w:pPr>
      <w:r>
        <w:t>Points &amp; Loyalty: قواعد النقاط، مستويات الشارات، ومراجعة نشاط مشبوه.</w:t>
      </w:r>
    </w:p>
    <w:p>
      <w:pPr>
        <w:pStyle w:val="ListBullet"/>
        <w:spacing w:after="40"/>
      </w:pPr>
      <w:r>
        <w:t>Rewards Management: منح مكافأة لمستخدم، تحديد وصفها وشروطها وتسجيل من منحها ومتى.</w:t>
      </w:r>
    </w:p>
    <w:p>
      <w:pPr>
        <w:pStyle w:val="ListBullet"/>
        <w:spacing w:after="40"/>
      </w:pPr>
      <w:r>
        <w:t>Audit Log: سجل الإجراءات الإدارية الحساسة.</w:t>
      </w:r>
    </w:p>
    <w:p>
      <w:pPr>
        <w:pStyle w:val="ListBullet"/>
        <w:spacing w:after="40"/>
      </w:pPr>
      <w:r>
        <w:t>إعدادات السياسات وروابط التواصل ومحتوى صفحات المعلومات.</w:t>
      </w:r>
    </w:p>
    <w:p>
      <w:pPr>
        <w:pStyle w:val="Heading1"/>
      </w:pPr>
      <w:r>
        <w:t>5. قواعد المنتجات والمراجعة</w:t>
      </w:r>
    </w:p>
    <w:p>
      <w:pPr>
        <w:pStyle w:val="ListBullet"/>
        <w:spacing w:after="40"/>
      </w:pPr>
      <w:r>
        <w:t>المنتج الجديد يكون Draft أو Pending Review ولا يظهر للعامة قبل الموافقة.</w:t>
      </w:r>
    </w:p>
    <w:p>
      <w:pPr>
        <w:pStyle w:val="ListBullet"/>
        <w:spacing w:after="40"/>
      </w:pPr>
      <w:r>
        <w:t>حالات المنتج: Draft, Pending, Approved/Published, Rejected, Paused, Archived.</w:t>
      </w:r>
    </w:p>
    <w:p>
      <w:pPr>
        <w:pStyle w:val="ListBullet"/>
        <w:spacing w:after="40"/>
      </w:pPr>
      <w:r>
        <w:t>يجب أن يملك البائع حق استخدام الصور والوصف، وألا يرفع محتوى مضللًا أو مخالفًا.</w:t>
      </w:r>
    </w:p>
    <w:p>
      <w:pPr>
        <w:pStyle w:val="ListBullet"/>
        <w:spacing w:after="40"/>
      </w:pPr>
      <w:r>
        <w:t>تخزن الروابط الخارجية مع اسم النطاق ووقت آخر تحقق وحالة الرابط عند توفر التحقق.</w:t>
      </w:r>
    </w:p>
    <w:p>
      <w:pPr>
        <w:pStyle w:val="ListBullet"/>
        <w:spacing w:after="40"/>
      </w:pPr>
      <w:r>
        <w:t>لا تفترض المنصة أن استخدام صور أو بيانات Amazon أو أي متجر مسموح تلقائيًا؛ يجب الالتزام بشروط المصدر والحقوق.</w:t>
      </w:r>
    </w:p>
    <w:p>
      <w:pPr>
        <w:pStyle w:val="ListBullet"/>
        <w:spacing w:after="40"/>
      </w:pPr>
      <w:r>
        <w:t>الأسعار والتوفر قد يتغيران في المتجر الخارجي؛ تعرض المنصة تنبيهًا مناسبًا عند الحاجة.</w:t>
      </w:r>
    </w:p>
    <w:p>
      <w:pPr>
        <w:pStyle w:val="ListBullet"/>
        <w:spacing w:after="40"/>
      </w:pPr>
      <w:r>
        <w:t>يجب أن تكون روابط الشراء الخارجية واضحة، وألا توحي المنصة بأن البيع أو الدفع يتم داخل Rontab ما لم يضف ذلك مستقبلًا.</w:t>
      </w:r>
    </w:p>
    <w:p>
      <w:pPr>
        <w:pStyle w:val="Heading1"/>
      </w:pPr>
      <w:r>
        <w:t>6. نموذج اشتراك البائع</w:t>
      </w:r>
    </w:p>
    <w:p>
      <w:pPr>
        <w:pStyle w:val="ListBullet"/>
        <w:spacing w:after="40"/>
      </w:pPr>
      <w:r>
        <w:t>يُمنح الحساب الجديد حدًا تجريبيًا مبدئيًا يصل إلى 5 منتجات.</w:t>
      </w:r>
    </w:p>
    <w:p>
      <w:pPr>
        <w:pStyle w:val="ListBullet"/>
        <w:spacing w:after="40"/>
      </w:pPr>
      <w:r>
        <w:t>رصيد النقرات المجاني المقترح: 1,000 نقرة مؤهلة إجمالًا على مستوى حساب البائع، عبر منتجاته الخمسة؛ أول منتج أو مجموعة منتجات تستنفد الإجمالي تُنهي الرصيد.</w:t>
      </w:r>
    </w:p>
    <w:p>
      <w:pPr>
        <w:pStyle w:val="ListBullet"/>
        <w:spacing w:after="40"/>
      </w:pPr>
      <w:r>
        <w:t>بعد استهلاك الرصيد: تتوقف الزيارات الترويجية للمنتجات أو تتغير حالتها وفق سياسة معلنة، وتبقى بيانات البائع ومنتجاته محفوظة.</w:t>
      </w:r>
    </w:p>
    <w:p>
      <w:pPr>
        <w:pStyle w:val="ListBullet"/>
        <w:spacing w:after="40"/>
      </w:pPr>
      <w:r>
        <w:t>لا يبدأ دفع مدفوع تلقائيًا دون موافقة صريحة على الاشتراك والسعر ودورية الفوترة.</w:t>
      </w:r>
    </w:p>
    <w:p>
      <w:pPr>
        <w:pStyle w:val="ListBullet"/>
        <w:spacing w:after="40"/>
      </w:pPr>
      <w:r>
        <w:t>حدود المنتجات مرتبطة بالباقة لا بالتخصص؛ يمكن للبائع توزيع المنتجات على أي أقسام مفتوحة.</w:t>
      </w:r>
    </w:p>
    <w:p>
      <w:pPr>
        <w:pStyle w:val="ListBullet"/>
        <w:spacing w:after="40"/>
      </w:pPr>
      <w:r>
        <w:t>الأسعار النهائية والباقات وفترة التجربة والإلغاء والاسترداد تحتاج قرارًا تجاريًا قبل الإطلاق.</w:t>
      </w:r>
    </w:p>
    <w:p>
      <w:pPr>
        <w:pStyle w:val="ListBullet"/>
        <w:spacing w:after="40"/>
      </w:pPr>
      <w:r>
        <w:t>استخدام Stripe Billing مقترح؛ تُعالج تغييرات الاشتراك عبر webhooks موثقة وآمنة.</w:t>
      </w:r>
    </w:p>
    <w:p>
      <w:pPr>
        <w:pStyle w:val="Heading1"/>
      </w:pPr>
      <w:r>
        <w:t>7. تعريف النقرة المؤهلة للبائع</w:t>
      </w:r>
    </w:p>
    <w:p>
      <w:r>
        <w:t>النقرة المؤهلة هي انتقال خارجي مسجل من صفحة منتج Rontab إلى رابط المتجر، بعد اجتياز قواعد التحقق. لا تعني النقرة أن عملية شراء تمت.</w:t>
      </w:r>
    </w:p>
    <w:p>
      <w:pPr>
        <w:pStyle w:val="ListBullet"/>
        <w:spacing w:after="40"/>
      </w:pPr>
      <w:r>
        <w:t>يجب تسجيل الحدث على الخادم، وليس الاعتماد على عداد يرسله المتصفح فقط.</w:t>
      </w:r>
    </w:p>
    <w:p>
      <w:pPr>
        <w:pStyle w:val="ListBullet"/>
        <w:spacing w:after="40"/>
      </w:pPr>
      <w:r>
        <w:t>تطبيق منع التكرار بحسب المستخدم/الجلسة والمنتج ونافذة زمنية قابلة للضبط.</w:t>
      </w:r>
    </w:p>
    <w:p>
      <w:pPr>
        <w:pStyle w:val="ListBullet"/>
        <w:spacing w:after="40"/>
      </w:pPr>
      <w:r>
        <w:t>تمييز النقرات المكررة أو الآلية أو المشبوهة وعدم احتسابها في الرصيد المدفوع للبائع.</w:t>
      </w:r>
    </w:p>
    <w:p>
      <w:pPr>
        <w:pStyle w:val="ListBullet"/>
        <w:spacing w:after="40"/>
      </w:pPr>
      <w:r>
        <w:t>استخدام حدود معدل (rate limits)، وفحوصات سلوكية، وسجلات قابلة للتدقيق.</w:t>
      </w:r>
    </w:p>
    <w:p>
      <w:pPr>
        <w:pStyle w:val="ListBullet"/>
        <w:spacing w:after="40"/>
      </w:pPr>
      <w:r>
        <w:t>تجنب جمع بيانات شخصية زائدة؛ لا تعتمد على عنوان IP وحده كمعرّف ثابت أو دليل احتيال.</w:t>
      </w:r>
    </w:p>
    <w:p>
      <w:pPr>
        <w:pStyle w:val="ListBullet"/>
        <w:spacing w:after="40"/>
      </w:pPr>
      <w:r>
        <w:t>توثيق تعريف النقرة المؤهلة للبائعين في شروط الخدمة.</w:t>
      </w:r>
    </w:p>
    <w:p>
      <w:pPr>
        <w:pStyle w:val="Heading1"/>
      </w:pPr>
      <w:r>
        <w:t>8. نقاط الزوار والولاء</w:t>
      </w:r>
    </w:p>
    <w:p>
      <w:r>
        <w:t>نقاط الولاء منفصلة تمامًا عن النقرات المؤهلة التي يحتسبها النظام للبائع. يجب عدم تحفيز المستخدمين على الضغط المتكرر على الروابط الخارجية بهدف تضخيم مؤشرات الإعلان.</w:t>
      </w:r>
    </w:p>
    <w:p>
      <w:pPr>
        <w:pStyle w:val="ListBullet"/>
        <w:spacing w:after="40"/>
      </w:pPr>
      <w:r>
        <w:t>مقترح مبدئي: نقطة ولاء واحدة لكل مستخدم لكل منتج خلال نافذة 30 دقيقة؛ تكرار الضغط لا يمنح نقاطًا إضافية.</w:t>
      </w:r>
    </w:p>
    <w:p>
      <w:pPr>
        <w:pStyle w:val="ListBullet"/>
        <w:spacing w:after="40"/>
      </w:pPr>
      <w:r>
        <w:t>قيد أقصى إضافي للنقاط خلال 30 دقيقة عبر جميع المنتجات ما زال يحتاج قرارًا: 3 نقاط إجمالًا للمستخدم أم 3 لكل منتج.</w:t>
      </w:r>
    </w:p>
    <w:p>
      <w:pPr>
        <w:pStyle w:val="ListBullet"/>
        <w:spacing w:after="40"/>
      </w:pPr>
      <w:r>
        <w:t>النقاط تُسجل عبر سجل أحداث append-only أو آلية تمنع التعديل المباشر، مع قيود فريدة تمنع منح النقطة مرتين للحدث نفسه.</w:t>
      </w:r>
    </w:p>
    <w:p>
      <w:pPr>
        <w:pStyle w:val="ListBullet"/>
        <w:spacing w:after="40"/>
      </w:pPr>
      <w:r>
        <w:t>مستويات شارات أولية قابلة للتعديل من الإدارة، مثل Bronze, Silver, Gold؛ حدود النقاط مجرد إعدادات وليست ثوابت في الكود.</w:t>
      </w:r>
    </w:p>
    <w:p>
      <w:pPr>
        <w:pStyle w:val="ListBullet"/>
        <w:spacing w:after="40"/>
      </w:pPr>
      <w:r>
        <w:t>المكافآت تقديرية من الإدارة وفق شروط وسياسة معلنة، ولا تُعرض الجائزة كمضمونة ما لم تكن كذلك بالفعل.</w:t>
      </w:r>
    </w:p>
    <w:p>
      <w:pPr>
        <w:pStyle w:val="ListBullet"/>
        <w:spacing w:after="40"/>
      </w:pPr>
      <w:r>
        <w:t>كل مكافأة لها حالة وسجل: Draft, Approved, Issued, Redeemed, Cancelled، مع تسجيل المدير والتوقيت وسبب القرار.</w:t>
      </w:r>
    </w:p>
    <w:p>
      <w:pPr>
        <w:pStyle w:val="ListBullet"/>
        <w:spacing w:after="40"/>
      </w:pPr>
      <w:r>
        <w:t>لا تُطلق جوائز نقدية أو سحوبات أو بطاقات هدايا قبل مراجعة قانونية للعرض وشروطه في الأسواق المستهدفة.</w:t>
      </w:r>
    </w:p>
    <w:p>
      <w:pPr>
        <w:pStyle w:val="Heading1"/>
      </w:pPr>
      <w:r>
        <w:t>9. التصنيفات والتوسع</w:t>
      </w:r>
    </w:p>
    <w:p>
      <w:pPr>
        <w:pStyle w:val="ListBullet"/>
        <w:spacing w:after="40"/>
      </w:pPr>
      <w:r>
        <w:t>يجب أن تكون التصنيفات بيانات في قاعدة البيانات، لا مصفوفات ثابتة داخل الواجهة.</w:t>
      </w:r>
    </w:p>
    <w:p>
      <w:pPr>
        <w:pStyle w:val="ListBullet"/>
        <w:spacing w:after="40"/>
      </w:pPr>
      <w:r>
        <w:t>المدير يستطيع إضافة/تعديل/تعطيل تصنيف وتصنيفات فرعية من لوحة الإدارة.</w:t>
      </w:r>
    </w:p>
    <w:p>
      <w:pPr>
        <w:pStyle w:val="ListBullet"/>
        <w:spacing w:after="40"/>
      </w:pPr>
      <w:r>
        <w:t>كل منتج يرتبط بتصنيف واحد أساسي على الأقل؛ يمكن دعم عدة تصنيفات لاحقًا بعد دراسة تجربة البحث.</w:t>
      </w:r>
    </w:p>
    <w:p>
      <w:pPr>
        <w:pStyle w:val="ListBullet"/>
        <w:spacing w:after="40"/>
      </w:pPr>
      <w:r>
        <w:t>إضافة تصنيف جديد لا تتطلب تعديل الكود أو إنشاء اشتراك منفصل.</w:t>
      </w:r>
    </w:p>
    <w:p>
      <w:pPr>
        <w:pStyle w:val="ListBullet"/>
        <w:spacing w:after="40"/>
      </w:pPr>
      <w:r>
        <w:t>يمكن لاحقًا تقييد بعض التصنيفات حسب البلد أو سياسة المراجعة، دون تغيير نموذج حساب البائع.</w:t>
      </w:r>
    </w:p>
    <w:p>
      <w:pPr>
        <w:pStyle w:val="Heading1"/>
      </w:pPr>
      <w:r>
        <w:t>10. النموذج التقني المقترح</w:t>
      </w:r>
    </w:p>
    <w:tbl>
      <w:tblPr>
        <w:tblStyle w:val="LightShading-Accent1"/>
        <w:tblW w:type="auto" w:w="0"/>
        <w:tblLook w:firstColumn="1" w:firstRow="1" w:lastColumn="0" w:lastRow="0" w:noHBand="0" w:noVBand="1" w:val="04A0"/>
      </w:tblPr>
      <w:tblGrid>
        <w:gridCol w:w="4968"/>
        <w:gridCol w:w="4968"/>
      </w:tblGrid>
      <w:tr>
        <w:tc>
          <w:tcPr>
            <w:tcW w:type="dxa" w:w="4968"/>
            <w:vAlign w:val="center"/>
            <w:shd w:fill="20463D"/>
          </w:tcPr>
          <w:p>
            <w:pPr>
              <w:spacing w:after="0"/>
            </w:pPr>
            <w:r/>
            <w:r>
              <w:rPr>
                <w:b/>
                <w:color w:val="FFFFFF"/>
              </w:rPr>
              <w:t>المكوّن</w:t>
            </w:r>
          </w:p>
        </w:tc>
        <w:tc>
          <w:tcPr>
            <w:tcW w:type="dxa" w:w="4968"/>
            <w:vAlign w:val="center"/>
            <w:shd w:fill="20463D"/>
          </w:tcPr>
          <w:p>
            <w:pPr>
              <w:spacing w:after="0"/>
            </w:pPr>
            <w:r/>
            <w:r>
              <w:rPr>
                <w:b/>
                <w:color w:val="FFFFFF"/>
              </w:rPr>
              <w:t>الاختيار المقترح</w:t>
            </w:r>
          </w:p>
        </w:tc>
      </w:tr>
      <w:tr>
        <w:tc>
          <w:tcPr>
            <w:tcW w:type="dxa" w:w="4968"/>
            <w:vAlign w:val="center"/>
          </w:tcPr>
          <w:p>
            <w:pPr>
              <w:spacing w:after="0"/>
            </w:pPr>
            <w:r/>
            <w:r>
              <w:rPr>
                <w:b/>
              </w:rPr>
              <w:t>واجهة التطبيق</w:t>
            </w:r>
          </w:p>
        </w:tc>
        <w:tc>
          <w:tcPr>
            <w:tcW w:type="dxa" w:w="4968"/>
            <w:vAlign w:val="center"/>
          </w:tcPr>
          <w:p>
            <w:pPr>
              <w:spacing w:after="0"/>
            </w:pPr>
            <w:r/>
            <w:r>
              <w:rPr>
                <w:b w:val="0"/>
              </w:rPr>
              <w:t>Next.js App Router + TypeScript + Tailwind CSS</w:t>
            </w:r>
          </w:p>
        </w:tc>
      </w:tr>
      <w:tr>
        <w:tc>
          <w:tcPr>
            <w:tcW w:type="dxa" w:w="4968"/>
            <w:vAlign w:val="center"/>
          </w:tcPr>
          <w:p>
            <w:pPr>
              <w:spacing w:after="0"/>
            </w:pPr>
            <w:r/>
            <w:r>
              <w:rPr>
                <w:b/>
              </w:rPr>
              <w:t>قاعدة البيانات والمصادقة والتخزين</w:t>
            </w:r>
          </w:p>
        </w:tc>
        <w:tc>
          <w:tcPr>
            <w:tcW w:type="dxa" w:w="4968"/>
            <w:vAlign w:val="center"/>
          </w:tcPr>
          <w:p>
            <w:pPr>
              <w:spacing w:after="0"/>
            </w:pPr>
            <w:r/>
            <w:r>
              <w:rPr>
                <w:b w:val="0"/>
              </w:rPr>
              <w:t>Supabase (PostgreSQL, Auth, Storage)</w:t>
            </w:r>
          </w:p>
        </w:tc>
      </w:tr>
      <w:tr>
        <w:tc>
          <w:tcPr>
            <w:tcW w:type="dxa" w:w="4968"/>
            <w:vAlign w:val="center"/>
          </w:tcPr>
          <w:p>
            <w:pPr>
              <w:spacing w:after="0"/>
            </w:pPr>
            <w:r/>
            <w:r>
              <w:rPr>
                <w:b/>
              </w:rPr>
              <w:t>الدفع والاشتراكات</w:t>
            </w:r>
          </w:p>
        </w:tc>
        <w:tc>
          <w:tcPr>
            <w:tcW w:type="dxa" w:w="4968"/>
            <w:vAlign w:val="center"/>
          </w:tcPr>
          <w:p>
            <w:pPr>
              <w:spacing w:after="0"/>
            </w:pPr>
            <w:r/>
            <w:r>
              <w:rPr>
                <w:b w:val="0"/>
              </w:rPr>
              <w:t>Stripe Billing</w:t>
            </w:r>
          </w:p>
        </w:tc>
      </w:tr>
      <w:tr>
        <w:tc>
          <w:tcPr>
            <w:tcW w:type="dxa" w:w="4968"/>
            <w:vAlign w:val="center"/>
          </w:tcPr>
          <w:p>
            <w:pPr>
              <w:spacing w:after="0"/>
            </w:pPr>
            <w:r/>
            <w:r>
              <w:rPr>
                <w:b/>
              </w:rPr>
              <w:t>النشر</w:t>
            </w:r>
          </w:p>
        </w:tc>
        <w:tc>
          <w:tcPr>
            <w:tcW w:type="dxa" w:w="4968"/>
            <w:vAlign w:val="center"/>
          </w:tcPr>
          <w:p>
            <w:pPr>
              <w:spacing w:after="0"/>
            </w:pPr>
            <w:r/>
            <w:r>
              <w:rPr>
                <w:b w:val="0"/>
              </w:rPr>
              <w:t>Vercel</w:t>
            </w:r>
          </w:p>
        </w:tc>
      </w:tr>
      <w:tr>
        <w:tc>
          <w:tcPr>
            <w:tcW w:type="dxa" w:w="4968"/>
            <w:vAlign w:val="center"/>
          </w:tcPr>
          <w:p>
            <w:pPr>
              <w:spacing w:after="0"/>
            </w:pPr>
            <w:r/>
            <w:r>
              <w:rPr>
                <w:b/>
              </w:rPr>
              <w:t>إدارة الكود</w:t>
            </w:r>
          </w:p>
        </w:tc>
        <w:tc>
          <w:tcPr>
            <w:tcW w:type="dxa" w:w="4968"/>
            <w:vAlign w:val="center"/>
          </w:tcPr>
          <w:p>
            <w:pPr>
              <w:spacing w:after="0"/>
            </w:pPr>
            <w:r/>
            <w:r>
              <w:rPr>
                <w:b w:val="0"/>
              </w:rPr>
              <w:t>GitHub مع فروع وPull Requests</w:t>
            </w:r>
          </w:p>
        </w:tc>
      </w:tr>
      <w:tr>
        <w:tc>
          <w:tcPr>
            <w:tcW w:type="dxa" w:w="4968"/>
            <w:vAlign w:val="center"/>
          </w:tcPr>
          <w:p>
            <w:pPr>
              <w:spacing w:after="0"/>
            </w:pPr>
            <w:r/>
            <w:r>
              <w:rPr>
                <w:b/>
              </w:rPr>
              <w:t>الاختبارات</w:t>
            </w:r>
          </w:p>
        </w:tc>
        <w:tc>
          <w:tcPr>
            <w:tcW w:type="dxa" w:w="4968"/>
            <w:vAlign w:val="center"/>
          </w:tcPr>
          <w:p>
            <w:pPr>
              <w:spacing w:after="0"/>
            </w:pPr>
            <w:r/>
            <w:r>
              <w:rPr>
                <w:b w:val="0"/>
              </w:rPr>
              <w:t>اختبارات وحدات وتكامل للرصيد والنقرات والصلاحيات؛ ثم اختبارات E2E للمسارات الأساسية</w:t>
            </w:r>
          </w:p>
        </w:tc>
      </w:tr>
    </w:tbl>
    <w:p>
      <w:pPr>
        <w:pStyle w:val="Heading1"/>
      </w:pPr>
      <w:r>
        <w:t>11. مخطط قاعدة البيانات المبدئي</w:t>
      </w:r>
    </w:p>
    <w:tbl>
      <w:tblPr>
        <w:tblStyle w:val="LightShading-Accent1"/>
        <w:tblW w:type="auto" w:w="0"/>
        <w:tblLook w:firstColumn="1" w:firstRow="1" w:lastColumn="0" w:lastRow="0" w:noHBand="0" w:noVBand="1" w:val="04A0"/>
      </w:tblPr>
      <w:tblGrid>
        <w:gridCol w:w="4968"/>
        <w:gridCol w:w="4968"/>
      </w:tblGrid>
      <w:tr>
        <w:tc>
          <w:tcPr>
            <w:tcW w:type="dxa" w:w="4968"/>
            <w:vAlign w:val="center"/>
            <w:shd w:fill="20463D"/>
          </w:tcPr>
          <w:p>
            <w:pPr>
              <w:spacing w:after="0"/>
            </w:pPr>
            <w:r/>
            <w:r>
              <w:rPr>
                <w:b/>
                <w:color w:val="FFFFFF"/>
              </w:rPr>
              <w:t>الجدول</w:t>
            </w:r>
          </w:p>
        </w:tc>
        <w:tc>
          <w:tcPr>
            <w:tcW w:type="dxa" w:w="4968"/>
            <w:vAlign w:val="center"/>
            <w:shd w:fill="20463D"/>
          </w:tcPr>
          <w:p>
            <w:pPr>
              <w:spacing w:after="0"/>
            </w:pPr>
            <w:r/>
            <w:r>
              <w:rPr>
                <w:b/>
                <w:color w:val="FFFFFF"/>
              </w:rPr>
              <w:t>الغرض</w:t>
            </w:r>
          </w:p>
        </w:tc>
      </w:tr>
      <w:tr>
        <w:tc>
          <w:tcPr>
            <w:tcW w:type="dxa" w:w="4968"/>
            <w:vAlign w:val="center"/>
          </w:tcPr>
          <w:p>
            <w:pPr>
              <w:spacing w:after="0"/>
            </w:pPr>
            <w:r/>
            <w:r>
              <w:rPr>
                <w:b/>
              </w:rPr>
              <w:t>profiles</w:t>
            </w:r>
          </w:p>
        </w:tc>
        <w:tc>
          <w:tcPr>
            <w:tcW w:type="dxa" w:w="4968"/>
            <w:vAlign w:val="center"/>
          </w:tcPr>
          <w:p>
            <w:pPr>
              <w:spacing w:after="0"/>
            </w:pPr>
            <w:r/>
            <w:r>
              <w:rPr>
                <w:b w:val="0"/>
              </w:rPr>
              <w:t>هوية المستخدم والدور وحالة الحساب.</w:t>
            </w:r>
          </w:p>
        </w:tc>
      </w:tr>
      <w:tr>
        <w:tc>
          <w:tcPr>
            <w:tcW w:type="dxa" w:w="4968"/>
            <w:vAlign w:val="center"/>
          </w:tcPr>
          <w:p>
            <w:pPr>
              <w:spacing w:after="0"/>
            </w:pPr>
            <w:r/>
            <w:r>
              <w:rPr>
                <w:b/>
              </w:rPr>
              <w:t>seller_profiles</w:t>
            </w:r>
          </w:p>
        </w:tc>
        <w:tc>
          <w:tcPr>
            <w:tcW w:type="dxa" w:w="4968"/>
            <w:vAlign w:val="center"/>
          </w:tcPr>
          <w:p>
            <w:pPr>
              <w:spacing w:after="0"/>
            </w:pPr>
            <w:r/>
            <w:r>
              <w:rPr>
                <w:b w:val="0"/>
              </w:rPr>
              <w:t>بيانات المتجر ومعلومات البائع.</w:t>
            </w:r>
          </w:p>
        </w:tc>
      </w:tr>
      <w:tr>
        <w:tc>
          <w:tcPr>
            <w:tcW w:type="dxa" w:w="4968"/>
            <w:vAlign w:val="center"/>
          </w:tcPr>
          <w:p>
            <w:pPr>
              <w:spacing w:after="0"/>
            </w:pPr>
            <w:r/>
            <w:r>
              <w:rPr>
                <w:b/>
              </w:rPr>
              <w:t>categories</w:t>
            </w:r>
          </w:p>
        </w:tc>
        <w:tc>
          <w:tcPr>
            <w:tcW w:type="dxa" w:w="4968"/>
            <w:vAlign w:val="center"/>
          </w:tcPr>
          <w:p>
            <w:pPr>
              <w:spacing w:after="0"/>
            </w:pPr>
            <w:r/>
            <w:r>
              <w:rPr>
                <w:b w:val="0"/>
              </w:rPr>
              <w:t>تصنيفات قابلة للإدارة مع parent_id وحالة النشر.</w:t>
            </w:r>
          </w:p>
        </w:tc>
      </w:tr>
      <w:tr>
        <w:tc>
          <w:tcPr>
            <w:tcW w:type="dxa" w:w="4968"/>
            <w:vAlign w:val="center"/>
          </w:tcPr>
          <w:p>
            <w:pPr>
              <w:spacing w:after="0"/>
            </w:pPr>
            <w:r/>
            <w:r>
              <w:rPr>
                <w:b/>
              </w:rPr>
              <w:t>products</w:t>
            </w:r>
          </w:p>
        </w:tc>
        <w:tc>
          <w:tcPr>
            <w:tcW w:type="dxa" w:w="4968"/>
            <w:vAlign w:val="center"/>
          </w:tcPr>
          <w:p>
            <w:pPr>
              <w:spacing w:after="0"/>
            </w:pPr>
            <w:r/>
            <w:r>
              <w:rPr>
                <w:b w:val="0"/>
              </w:rPr>
              <w:t>البائع، التصنيف، الاسم، الوصف، السعر/العملة الاختيارية، الرابط، الحالة.</w:t>
            </w:r>
          </w:p>
        </w:tc>
      </w:tr>
      <w:tr>
        <w:tc>
          <w:tcPr>
            <w:tcW w:type="dxa" w:w="4968"/>
            <w:vAlign w:val="center"/>
          </w:tcPr>
          <w:p>
            <w:pPr>
              <w:spacing w:after="0"/>
            </w:pPr>
            <w:r/>
            <w:r>
              <w:rPr>
                <w:b/>
              </w:rPr>
              <w:t>product_images</w:t>
            </w:r>
          </w:p>
        </w:tc>
        <w:tc>
          <w:tcPr>
            <w:tcW w:type="dxa" w:w="4968"/>
            <w:vAlign w:val="center"/>
          </w:tcPr>
          <w:p>
            <w:pPr>
              <w:spacing w:after="0"/>
            </w:pPr>
            <w:r/>
            <w:r>
              <w:rPr>
                <w:b w:val="0"/>
              </w:rPr>
              <w:t>مسارات الصور وبيانات التحقق وحقوق الاستخدام.</w:t>
            </w:r>
          </w:p>
        </w:tc>
      </w:tr>
      <w:tr>
        <w:tc>
          <w:tcPr>
            <w:tcW w:type="dxa" w:w="4968"/>
            <w:vAlign w:val="center"/>
          </w:tcPr>
          <w:p>
            <w:pPr>
              <w:spacing w:after="0"/>
            </w:pPr>
            <w:r/>
            <w:r>
              <w:rPr>
                <w:b/>
              </w:rPr>
              <w:t>plans</w:t>
            </w:r>
          </w:p>
        </w:tc>
        <w:tc>
          <w:tcPr>
            <w:tcW w:type="dxa" w:w="4968"/>
            <w:vAlign w:val="center"/>
          </w:tcPr>
          <w:p>
            <w:pPr>
              <w:spacing w:after="0"/>
            </w:pPr>
            <w:r/>
            <w:r>
              <w:rPr>
                <w:b w:val="0"/>
              </w:rPr>
              <w:t>أسعار الباقات وحدود المنتجات وقواعد التجربة.</w:t>
            </w:r>
          </w:p>
        </w:tc>
      </w:tr>
      <w:tr>
        <w:tc>
          <w:tcPr>
            <w:tcW w:type="dxa" w:w="4968"/>
            <w:vAlign w:val="center"/>
          </w:tcPr>
          <w:p>
            <w:pPr>
              <w:spacing w:after="0"/>
            </w:pPr>
            <w:r/>
            <w:r>
              <w:rPr>
                <w:b/>
              </w:rPr>
              <w:t>subscriptions</w:t>
            </w:r>
          </w:p>
        </w:tc>
        <w:tc>
          <w:tcPr>
            <w:tcW w:type="dxa" w:w="4968"/>
            <w:vAlign w:val="center"/>
          </w:tcPr>
          <w:p>
            <w:pPr>
              <w:spacing w:after="0"/>
            </w:pPr>
            <w:r/>
            <w:r>
              <w:rPr>
                <w:b w:val="0"/>
              </w:rPr>
              <w:t>حالة اشتراك البائع ومراجع Stripe وتواريخ الفوترة.</w:t>
            </w:r>
          </w:p>
        </w:tc>
      </w:tr>
      <w:tr>
        <w:tc>
          <w:tcPr>
            <w:tcW w:type="dxa" w:w="4968"/>
            <w:vAlign w:val="center"/>
          </w:tcPr>
          <w:p>
            <w:pPr>
              <w:spacing w:after="0"/>
            </w:pPr>
            <w:r/>
            <w:r>
              <w:rPr>
                <w:b/>
              </w:rPr>
              <w:t>click_events</w:t>
            </w:r>
          </w:p>
        </w:tc>
        <w:tc>
          <w:tcPr>
            <w:tcW w:type="dxa" w:w="4968"/>
            <w:vAlign w:val="center"/>
          </w:tcPr>
          <w:p>
            <w:pPr>
              <w:spacing w:after="0"/>
            </w:pPr>
            <w:r/>
            <w:r>
              <w:rPr>
                <w:b w:val="0"/>
              </w:rPr>
              <w:t>أحداث النقر، المنتج، مصدر الحدث، وقت الحدث، نتيجة التحقق.</w:t>
            </w:r>
          </w:p>
        </w:tc>
      </w:tr>
      <w:tr>
        <w:tc>
          <w:tcPr>
            <w:tcW w:type="dxa" w:w="4968"/>
            <w:vAlign w:val="center"/>
          </w:tcPr>
          <w:p>
            <w:pPr>
              <w:spacing w:after="0"/>
            </w:pPr>
            <w:r/>
            <w:r>
              <w:rPr>
                <w:b/>
              </w:rPr>
              <w:t>seller_click_balances</w:t>
            </w:r>
          </w:p>
        </w:tc>
        <w:tc>
          <w:tcPr>
            <w:tcW w:type="dxa" w:w="4968"/>
            <w:vAlign w:val="center"/>
          </w:tcPr>
          <w:p>
            <w:pPr>
              <w:spacing w:after="0"/>
            </w:pPr>
            <w:r/>
            <w:r>
              <w:rPr>
                <w:b w:val="0"/>
              </w:rPr>
              <w:t>رصيد النقرات المؤهلة وعتبة التجربة لكل بائع.</w:t>
            </w:r>
          </w:p>
        </w:tc>
      </w:tr>
      <w:tr>
        <w:tc>
          <w:tcPr>
            <w:tcW w:type="dxa" w:w="4968"/>
            <w:vAlign w:val="center"/>
          </w:tcPr>
          <w:p>
            <w:pPr>
              <w:spacing w:after="0"/>
            </w:pPr>
            <w:r/>
            <w:r>
              <w:rPr>
                <w:b/>
              </w:rPr>
              <w:t>loyalty_events</w:t>
            </w:r>
          </w:p>
        </w:tc>
        <w:tc>
          <w:tcPr>
            <w:tcW w:type="dxa" w:w="4968"/>
            <w:vAlign w:val="center"/>
          </w:tcPr>
          <w:p>
            <w:pPr>
              <w:spacing w:after="0"/>
            </w:pPr>
            <w:r/>
            <w:r>
              <w:rPr>
                <w:b w:val="0"/>
              </w:rPr>
              <w:t>سجل نقاط الزائر ومصدرها والقيود التي تمنع التكرار.</w:t>
            </w:r>
          </w:p>
        </w:tc>
      </w:tr>
      <w:tr>
        <w:tc>
          <w:tcPr>
            <w:tcW w:type="dxa" w:w="4968"/>
            <w:vAlign w:val="center"/>
          </w:tcPr>
          <w:p>
            <w:pPr>
              <w:spacing w:after="0"/>
            </w:pPr>
            <w:r/>
            <w:r>
              <w:rPr>
                <w:b/>
              </w:rPr>
              <w:t>loyalty_badges</w:t>
            </w:r>
          </w:p>
        </w:tc>
        <w:tc>
          <w:tcPr>
            <w:tcW w:type="dxa" w:w="4968"/>
            <w:vAlign w:val="center"/>
          </w:tcPr>
          <w:p>
            <w:pPr>
              <w:spacing w:after="0"/>
            </w:pPr>
            <w:r/>
            <w:r>
              <w:rPr>
                <w:b w:val="0"/>
              </w:rPr>
              <w:t>تعريف الشارات وحدود النقاط.</w:t>
            </w:r>
          </w:p>
        </w:tc>
      </w:tr>
      <w:tr>
        <w:tc>
          <w:tcPr>
            <w:tcW w:type="dxa" w:w="4968"/>
            <w:vAlign w:val="center"/>
          </w:tcPr>
          <w:p>
            <w:pPr>
              <w:spacing w:after="0"/>
            </w:pPr>
            <w:r/>
            <w:r>
              <w:rPr>
                <w:b/>
              </w:rPr>
              <w:t>user_badges</w:t>
            </w:r>
          </w:p>
        </w:tc>
        <w:tc>
          <w:tcPr>
            <w:tcW w:type="dxa" w:w="4968"/>
            <w:vAlign w:val="center"/>
          </w:tcPr>
          <w:p>
            <w:pPr>
              <w:spacing w:after="0"/>
            </w:pPr>
            <w:r/>
            <w:r>
              <w:rPr>
                <w:b w:val="0"/>
              </w:rPr>
              <w:t>الشارات المكتسبة وتاريخ الحصول عليها.</w:t>
            </w:r>
          </w:p>
        </w:tc>
      </w:tr>
      <w:tr>
        <w:tc>
          <w:tcPr>
            <w:tcW w:type="dxa" w:w="4968"/>
            <w:vAlign w:val="center"/>
          </w:tcPr>
          <w:p>
            <w:pPr>
              <w:spacing w:after="0"/>
            </w:pPr>
            <w:r/>
            <w:r>
              <w:rPr>
                <w:b/>
              </w:rPr>
              <w:t>rewards</w:t>
            </w:r>
          </w:p>
        </w:tc>
        <w:tc>
          <w:tcPr>
            <w:tcW w:type="dxa" w:w="4968"/>
            <w:vAlign w:val="center"/>
          </w:tcPr>
          <w:p>
            <w:pPr>
              <w:spacing w:after="0"/>
            </w:pPr>
            <w:r/>
            <w:r>
              <w:rPr>
                <w:b w:val="0"/>
              </w:rPr>
              <w:t>تعريف المكافأة وحالتها وشروطها.</w:t>
            </w:r>
          </w:p>
        </w:tc>
      </w:tr>
      <w:tr>
        <w:tc>
          <w:tcPr>
            <w:tcW w:type="dxa" w:w="4968"/>
            <w:vAlign w:val="center"/>
          </w:tcPr>
          <w:p>
            <w:pPr>
              <w:spacing w:after="0"/>
            </w:pPr>
            <w:r/>
            <w:r>
              <w:rPr>
                <w:b/>
              </w:rPr>
              <w:t>reward_grants</w:t>
            </w:r>
          </w:p>
        </w:tc>
        <w:tc>
          <w:tcPr>
            <w:tcW w:type="dxa" w:w="4968"/>
            <w:vAlign w:val="center"/>
          </w:tcPr>
          <w:p>
            <w:pPr>
              <w:spacing w:after="0"/>
            </w:pPr>
            <w:r/>
            <w:r>
              <w:rPr>
                <w:b w:val="0"/>
              </w:rPr>
              <w:t>منح المكافآت للمستخدمين وسجل الاعتماد والاستلام.</w:t>
            </w:r>
          </w:p>
        </w:tc>
      </w:tr>
      <w:tr>
        <w:tc>
          <w:tcPr>
            <w:tcW w:type="dxa" w:w="4968"/>
            <w:vAlign w:val="center"/>
          </w:tcPr>
          <w:p>
            <w:pPr>
              <w:spacing w:after="0"/>
            </w:pPr>
            <w:r/>
            <w:r>
              <w:rPr>
                <w:b/>
              </w:rPr>
              <w:t>reports</w:t>
            </w:r>
          </w:p>
        </w:tc>
        <w:tc>
          <w:tcPr>
            <w:tcW w:type="dxa" w:w="4968"/>
            <w:vAlign w:val="center"/>
          </w:tcPr>
          <w:p>
            <w:pPr>
              <w:spacing w:after="0"/>
            </w:pPr>
            <w:r/>
            <w:r>
              <w:rPr>
                <w:b w:val="0"/>
              </w:rPr>
              <w:t>بلاغات المنتجات والمستخدمين.</w:t>
            </w:r>
          </w:p>
        </w:tc>
      </w:tr>
      <w:tr>
        <w:tc>
          <w:tcPr>
            <w:tcW w:type="dxa" w:w="4968"/>
            <w:vAlign w:val="center"/>
          </w:tcPr>
          <w:p>
            <w:pPr>
              <w:spacing w:after="0"/>
            </w:pPr>
            <w:r/>
            <w:r>
              <w:rPr>
                <w:b/>
              </w:rPr>
              <w:t>admin_audit_logs</w:t>
            </w:r>
          </w:p>
        </w:tc>
        <w:tc>
          <w:tcPr>
            <w:tcW w:type="dxa" w:w="4968"/>
            <w:vAlign w:val="center"/>
          </w:tcPr>
          <w:p>
            <w:pPr>
              <w:spacing w:after="0"/>
            </w:pPr>
            <w:r/>
            <w:r>
              <w:rPr>
                <w:b w:val="0"/>
              </w:rPr>
              <w:t>سجل الإجراءات الإدارية الحساسة.</w:t>
            </w:r>
          </w:p>
        </w:tc>
      </w:tr>
      <w:tr>
        <w:tc>
          <w:tcPr>
            <w:tcW w:type="dxa" w:w="4968"/>
            <w:vAlign w:val="center"/>
          </w:tcPr>
          <w:p>
            <w:pPr>
              <w:spacing w:after="0"/>
            </w:pPr>
            <w:r/>
            <w:r>
              <w:rPr>
                <w:b/>
              </w:rPr>
              <w:t>consents</w:t>
            </w:r>
          </w:p>
        </w:tc>
        <w:tc>
          <w:tcPr>
            <w:tcW w:type="dxa" w:w="4968"/>
            <w:vAlign w:val="center"/>
          </w:tcPr>
          <w:p>
            <w:pPr>
              <w:spacing w:after="0"/>
            </w:pPr>
            <w:r/>
            <w:r>
              <w:rPr>
                <w:b w:val="0"/>
              </w:rPr>
              <w:t>سجلات الموافقة على الشروط والخصوصية عند الحاجة.</w:t>
            </w:r>
          </w:p>
        </w:tc>
      </w:tr>
    </w:tbl>
    <w:p>
      <w:pPr>
        <w:pStyle w:val="Heading1"/>
      </w:pPr>
      <w:r>
        <w:t>12. الأمان والخصوصية</w:t>
      </w:r>
    </w:p>
    <w:p>
      <w:pPr>
        <w:pStyle w:val="ListBullet"/>
        <w:spacing w:after="40"/>
      </w:pPr>
      <w:r>
        <w:t>تفعيل Supabase Row Level Security على الجداول التي يمكن الوصول إليها من العميل.</w:t>
      </w:r>
    </w:p>
    <w:p>
      <w:pPr>
        <w:pStyle w:val="ListBullet"/>
        <w:spacing w:after="40"/>
      </w:pPr>
      <w:r>
        <w:t>البائع لا يستطيع قراءة أو تعديل بيانات بائع آخر أو سجلات نقاط/نقرات غير مصرح بها.</w:t>
      </w:r>
    </w:p>
    <w:p>
      <w:pPr>
        <w:pStyle w:val="ListBullet"/>
        <w:spacing w:after="40"/>
      </w:pPr>
      <w:r>
        <w:t>أسرار Stripe وSupabase service role تحفظ في متغيرات بيئة خادمية ولا تُرسل للمتصفح أو GitHub.</w:t>
      </w:r>
    </w:p>
    <w:p>
      <w:pPr>
        <w:pStyle w:val="ListBullet"/>
        <w:spacing w:after="40"/>
      </w:pPr>
      <w:r>
        <w:t>التحقق من المدخلات على الخادم، وتقييد رفع الصور، وفحص MIME والحجم والامتداد.</w:t>
      </w:r>
    </w:p>
    <w:p>
      <w:pPr>
        <w:pStyle w:val="ListBullet"/>
        <w:spacing w:after="40"/>
      </w:pPr>
      <w:r>
        <w:t>استخدام حماية CSRF المناسبة، وrate limiting، والتحقق من webhooks بتوقيعها.</w:t>
      </w:r>
    </w:p>
    <w:p>
      <w:pPr>
        <w:pStyle w:val="ListBullet"/>
        <w:spacing w:after="40"/>
      </w:pPr>
      <w:r>
        <w:t>تسجيل التغييرات الإدارية ومنح المكافآت وتعديل قواعد النقاط.</w:t>
      </w:r>
    </w:p>
    <w:p>
      <w:pPr>
        <w:pStyle w:val="ListBullet"/>
        <w:spacing w:after="40"/>
      </w:pPr>
      <w:r>
        <w:t>تقليل الاحتفاظ بالبيانات، وتوفير آلية لطلبات الوصول/التصحيح/الحذف وفق المتطلبات القانونية.</w:t>
      </w:r>
    </w:p>
    <w:p>
      <w:pPr>
        <w:pStyle w:val="ListBullet"/>
        <w:spacing w:after="40"/>
      </w:pPr>
      <w:r>
        <w:t>تحديد الحاجة إلى cookie consent للتقنيات غير الضرورية، وفق الأسواق المستهدفة.</w:t>
      </w:r>
    </w:p>
    <w:p>
      <w:pPr>
        <w:pStyle w:val="ListBullet"/>
        <w:spacing w:after="40"/>
      </w:pPr>
      <w:r>
        <w:t>وضع سياسة واضحة للروابط الخارجية، والإفصاح عن أي روابط إحالة أو عمولات مستقبلية.</w:t>
      </w:r>
    </w:p>
    <w:p>
      <w:pPr>
        <w:pStyle w:val="Heading1"/>
      </w:pPr>
      <w:r>
        <w:t>13. المتطلبات القانونية والتشغيلية قبل الإطلاق</w:t>
      </w:r>
    </w:p>
    <w:p>
      <w:pPr>
        <w:pStyle w:val="ListBullet"/>
        <w:spacing w:after="40"/>
      </w:pPr>
      <w:r>
        <w:t>مراجعة شروط الاستخدام وسياسة الخصوصية وسياسة ملفات تعريف الارتباط وشروط البائع.</w:t>
      </w:r>
    </w:p>
    <w:p>
      <w:pPr>
        <w:pStyle w:val="ListBullet"/>
        <w:spacing w:after="40"/>
      </w:pPr>
      <w:r>
        <w:t>مراجعة UK GDPR / Data Protection Act ومتطلبات GDPR الأوروبية حسب الجمهور المستهدف.</w:t>
      </w:r>
    </w:p>
    <w:p>
      <w:pPr>
        <w:pStyle w:val="ListBullet"/>
        <w:spacing w:after="40"/>
      </w:pPr>
      <w:r>
        <w:t>التحقق من الحقوق والتراخيص للصور والأوصاف والعلامات التجارية والروابط الخارجية.</w:t>
      </w:r>
    </w:p>
    <w:p>
      <w:pPr>
        <w:pStyle w:val="ListBullet"/>
        <w:spacing w:after="40"/>
      </w:pPr>
      <w:r>
        <w:t>مراجعة قواعد العروض الترويجية والمكافآت والجوائز في بريطانيا والأسواق الأوروبية المختارة.</w:t>
      </w:r>
    </w:p>
    <w:p>
      <w:pPr>
        <w:pStyle w:val="ListBullet"/>
        <w:spacing w:after="40"/>
      </w:pPr>
      <w:r>
        <w:t>عرض الأسعار والضرائب والفوترة والإلغاء والاسترداد بصورة واضحة؛ استشارة مختص حول الالتزامات الضريبية.</w:t>
      </w:r>
    </w:p>
    <w:p>
      <w:pPr>
        <w:pStyle w:val="ListBullet"/>
        <w:spacing w:after="40"/>
      </w:pPr>
      <w:r>
        <w:t>تحديد آلية للشكاوى والإبلاغ وإزالة المنتجات المخالفة.</w:t>
      </w:r>
    </w:p>
    <w:p>
      <w:pPr>
        <w:pStyle w:val="ListBullet"/>
        <w:spacing w:after="40"/>
      </w:pPr>
      <w:r>
        <w:t>عدم ادعاء ضمان المبيعات أو الزيارات ما لم يكن ذلك مدعومًا بعقد ومقاييس واضحة.</w:t>
      </w:r>
    </w:p>
    <w:p>
      <w:r>
        <w:t>هذه الوثيقة متطلبات منتج وليست استشارة قانونية. يلزم فحص قانوني متخصص قبل الإطلاق التجاري، خصوصًا الاشتراكات والمكافآت والخصوصية.</w:t>
      </w:r>
    </w:p>
    <w:p>
      <w:pPr>
        <w:pStyle w:val="Heading1"/>
      </w:pPr>
      <w:r>
        <w:t>14. خطة التنفيذ المرحلية</w:t>
      </w:r>
    </w:p>
    <w:p>
      <w:pPr>
        <w:spacing w:after="60"/>
      </w:pPr>
      <w:r>
        <w:rPr>
          <w:b/>
        </w:rPr>
        <w:t xml:space="preserve">المرحلة 0 — تأسيس المشروع: </w:t>
      </w:r>
      <w:r>
        <w:t>إنشاء Next.js، إعداد TypeScript/Tailwind/ESLint، مستودع GitHub، README، وملف env.example.</w:t>
      </w:r>
    </w:p>
    <w:p>
      <w:pPr>
        <w:spacing w:after="60"/>
      </w:pPr>
      <w:r>
        <w:rPr>
          <w:b/>
        </w:rPr>
        <w:t xml:space="preserve">المرحلة 1 — واجهة تجريبية: </w:t>
      </w:r>
      <w:r>
        <w:t>الرئيسية، البحث والتصفية، التصنيفات، بطاقات المنتجات، صفحة المنتج، صفحة For Sellers، بيانات وهمية واضحة.</w:t>
      </w:r>
    </w:p>
    <w:p>
      <w:pPr>
        <w:spacing w:after="60"/>
      </w:pPr>
      <w:r>
        <w:rPr>
          <w:b/>
        </w:rPr>
        <w:t xml:space="preserve">المرحلة 2 — المصادقة والمنتجات: </w:t>
      </w:r>
      <w:r>
        <w:t>Supabase Auth/Storage، حساب البائع، CRUD للمنتجات، مراجعة إدارية، سياسات RLS.</w:t>
      </w:r>
    </w:p>
    <w:p>
      <w:pPr>
        <w:spacing w:after="60"/>
      </w:pPr>
      <w:r>
        <w:rPr>
          <w:b/>
        </w:rPr>
        <w:t xml:space="preserve">المرحلة 3 — النقرات والنقاط: </w:t>
      </w:r>
      <w:r>
        <w:t>تسجيل النقرات على الخادم، قواعد إزالة التكرار، رصيد البائع، نقاط الولاء وسجل الأحداث.</w:t>
      </w:r>
    </w:p>
    <w:p>
      <w:pPr>
        <w:spacing w:after="60"/>
      </w:pPr>
      <w:r>
        <w:rPr>
          <w:b/>
        </w:rPr>
        <w:t xml:space="preserve">المرحلة 4 — الإدارة: </w:t>
      </w:r>
      <w:r>
        <w:t>إدارة التصنيفات والباقات وقواعد الولاء والمكافآت والمراجعة والسجلات.</w:t>
      </w:r>
    </w:p>
    <w:p>
      <w:pPr>
        <w:spacing w:after="60"/>
      </w:pPr>
      <w:r>
        <w:rPr>
          <w:b/>
        </w:rPr>
        <w:t xml:space="preserve">المرحلة 5 — الاشتراكات: </w:t>
      </w:r>
      <w:r>
        <w:t>Stripe test mode، webhooks، تجربة الدفع والإلغاء وفشل التجديد؛ لا تُفعّل مدفوعات حقيقية قبل الاختبارات.</w:t>
      </w:r>
    </w:p>
    <w:p>
      <w:pPr>
        <w:spacing w:after="60"/>
      </w:pPr>
      <w:r>
        <w:rPr>
          <w:b/>
        </w:rPr>
        <w:t xml:space="preserve">المرحلة 6 — الإطلاق التجريبي: </w:t>
      </w:r>
      <w:r>
        <w:t>اختبارات أمنية ووظيفية، مراجعة قانونية، مجموعة بائعين محدودة، قياس النقرات والاحتفاظ والتحويل.</w:t>
      </w:r>
    </w:p>
    <w:p>
      <w:pPr>
        <w:pStyle w:val="Heading1"/>
      </w:pPr>
      <w:r>
        <w:t>15. معايير القبول للإصدار الأول</w:t>
      </w:r>
    </w:p>
    <w:p>
      <w:pPr>
        <w:pStyle w:val="ListBullet"/>
        <w:spacing w:after="40"/>
      </w:pPr>
      <w:r>
        <w:t>الموقع يعمل على الهاتف والكمبيوتر والواجهة الإنجليزية متسقة.</w:t>
      </w:r>
    </w:p>
    <w:p>
      <w:pPr>
        <w:pStyle w:val="ListBullet"/>
        <w:spacing w:after="40"/>
      </w:pPr>
      <w:r>
        <w:t>يمكن البحث والتصفية وفتح صفحة تفاصيل المنتج.</w:t>
      </w:r>
    </w:p>
    <w:p>
      <w:pPr>
        <w:pStyle w:val="ListBullet"/>
        <w:spacing w:after="40"/>
      </w:pPr>
      <w:r>
        <w:t>لا يظهر منتج Pending للعامة.</w:t>
      </w:r>
    </w:p>
    <w:p>
      <w:pPr>
        <w:pStyle w:val="ListBullet"/>
        <w:spacing w:after="40"/>
      </w:pPr>
      <w:r>
        <w:t>لا يستطيع بائع الوصول إلى منتجات أو بيانات بائع آخر.</w:t>
      </w:r>
    </w:p>
    <w:p>
      <w:pPr>
        <w:pStyle w:val="ListBullet"/>
        <w:spacing w:after="40"/>
      </w:pPr>
      <w:r>
        <w:t>تُحسب النقرة المؤهلة مرة واحدة وفق القاعدة المحددة ويُسجل سبب رفض الأحداث غير المؤهلة.</w:t>
      </w:r>
    </w:p>
    <w:p>
      <w:pPr>
        <w:pStyle w:val="ListBullet"/>
        <w:spacing w:after="40"/>
      </w:pPr>
      <w:r>
        <w:t>رصيد النقرة التجريبي مشترك عبر منتجات البائع الخمسة ويُوقف الترويج عند استنفاده وفق السياسة.</w:t>
      </w:r>
    </w:p>
    <w:p>
      <w:pPr>
        <w:pStyle w:val="ListBullet"/>
        <w:spacing w:after="40"/>
      </w:pPr>
      <w:r>
        <w:t>لا توجد عملية دفع تلقائي دون موافقة صريحة.</w:t>
      </w:r>
    </w:p>
    <w:p>
      <w:pPr>
        <w:pStyle w:val="ListBullet"/>
        <w:spacing w:after="40"/>
      </w:pPr>
      <w:r>
        <w:t>يمكن للإدارة إضافة تخصص جديد دون تعديل الكود.</w:t>
      </w:r>
    </w:p>
    <w:p>
      <w:pPr>
        <w:pStyle w:val="ListBullet"/>
        <w:spacing w:after="40"/>
      </w:pPr>
      <w:r>
        <w:t>تغيير إعدادات النقاط والشارات والمكافآت يتم عبر لوحة الإدارة مع سجل تدقيق.</w:t>
      </w:r>
    </w:p>
    <w:p>
      <w:pPr>
        <w:pStyle w:val="ListBullet"/>
        <w:spacing w:after="40"/>
      </w:pPr>
      <w:r>
        <w:t>لا تُمنح النقاط أو المكافآت مرتين بسبب إعادة إرسال الطلب أو تكراره.</w:t>
      </w:r>
    </w:p>
    <w:p>
      <w:pPr>
        <w:pStyle w:val="ListBullet"/>
        <w:spacing w:after="40"/>
      </w:pPr>
      <w:r>
        <w:t>لا توجد أسرار في المستودع أو في ملفات العميل.</w:t>
      </w:r>
    </w:p>
    <w:p>
      <w:pPr>
        <w:pStyle w:val="Heading1"/>
      </w:pPr>
      <w:r>
        <w:t>16. قرارات مفتوحة قبل الإطلاق</w:t>
      </w:r>
    </w:p>
    <w:p>
      <w:pPr>
        <w:pStyle w:val="ListBullet"/>
        <w:spacing w:after="40"/>
      </w:pPr>
      <w:r>
        <w:t>الأسعار النهائية للباقات وحدود المنتجات.</w:t>
      </w:r>
    </w:p>
    <w:p>
      <w:pPr>
        <w:pStyle w:val="ListBullet"/>
        <w:spacing w:after="40"/>
      </w:pPr>
      <w:r>
        <w:t>هل الرصيد المجاني يبدأ عند التسجيل أم بعد الموافقة على أول منتج.</w:t>
      </w:r>
    </w:p>
    <w:p>
      <w:pPr>
        <w:pStyle w:val="ListBullet"/>
        <w:spacing w:after="40"/>
      </w:pPr>
      <w:r>
        <w:t>الحد الأقصى لنقاط الزائر: 3 نقاط إجمالًا خلال 30 دقيقة أم 3 نقاط لكل منتج؛ يجب حسم هذا التعارض.</w:t>
      </w:r>
    </w:p>
    <w:p>
      <w:pPr>
        <w:pStyle w:val="ListBullet"/>
        <w:spacing w:after="40"/>
      </w:pPr>
      <w:r>
        <w:t>المدة الزمنية التي تعتبر فيها النقرة مكررة للبائع، إضافة إلى قواعد كشف الاحتيال.</w:t>
      </w:r>
    </w:p>
    <w:p>
      <w:pPr>
        <w:pStyle w:val="ListBullet"/>
        <w:spacing w:after="40"/>
      </w:pPr>
      <w:r>
        <w:t>هل يسمح للزوار غير المسجلين بالتصفح فقط، أم بجمع نقاط بعد إنشاء حساب.</w:t>
      </w:r>
    </w:p>
    <w:p>
      <w:pPr>
        <w:pStyle w:val="ListBullet"/>
        <w:spacing w:after="40"/>
      </w:pPr>
      <w:r>
        <w:t>ما المكافآت التي يمكن منحها، وما شروط الأهلية والاستلام والبلدان المدعومة.</w:t>
      </w:r>
    </w:p>
    <w:p>
      <w:pPr>
        <w:pStyle w:val="ListBullet"/>
        <w:spacing w:after="40"/>
      </w:pPr>
      <w:r>
        <w:t>الدول الأوروبية التي ستدعمها المنصة أولًا، وخيارات اللغة/العملة مستقبلًا.</w:t>
      </w:r>
    </w:p>
    <w:p>
      <w:pPr>
        <w:pStyle w:val="ListBullet"/>
        <w:spacing w:after="40"/>
      </w:pPr>
      <w:r>
        <w:t>اسم النطاق النهائي والتحقق من العلامة التجارية Rontab قبل الاستخدام التجاري.</w:t>
      </w:r>
    </w:p>
    <w:p>
      <w:pPr>
        <w:pStyle w:val="Heading1"/>
      </w:pPr>
      <w:r>
        <w:t>17. أول مهمة لـ GitHub Copilot Agent</w:t>
      </w:r>
    </w:p>
    <w:p>
      <w:r>
        <w:t>استخدم التعليمات التالية بعد إنشاء مشروع Next.js باسم rontab:</w:t>
      </w:r>
    </w:p>
    <w:p>
      <w:pPr>
        <w:ind w:left="288" w:right="288"/>
      </w:pPr>
      <w:r>
        <w:rPr>
          <w:rFonts w:ascii="Consolas" w:hAnsi="Consolas"/>
          <w:sz w:val="17"/>
        </w:rPr>
        <w:t>Inspect the existing Next.js App Router project and implement Phase 1 of the Rontab specification only.</w:t>
        <w:br/>
        <w:br/>
        <w:t>Build a polished, responsive English-language product discovery website for home and kitchen products targeting the UK and Europe. Use Next.js, TypeScript, and Tailwind CSS already configured in the repository.</w:t>
        <w:br/>
        <w:br/>
        <w:t>Requirements:</w:t>
        <w:br/>
        <w:t>- Premium editorial visual design; warm neutral background, charcoal typography, muted green accents.</w:t>
        <w:br/>
        <w:t>- Header with Rontab wordmark, category navigation, search, and a “For Sellers” link.</w:t>
        <w:br/>
        <w:t>- Homepage hero, category tiles, curated product grid, and seller CTA.</w:t>
        <w:br/>
        <w:t>- Typed fictional sample data for at least 8 products, prices in GBP, category, short description, and external URL placeholders.</w:t>
        <w:br/>
        <w:t>- Search by name/category, category filtering, accessible empty state, reusable product cards.</w:t>
        <w:br/>
        <w:t>- Product detail route using the App Router.</w:t>
        <w:br/>
        <w:t>- Responsive mobile layout and accessible keyboard focus states.</w:t>
        <w:br/>
        <w:t>- Include clear About, Contact, Privacy, Terms, and For Sellers placeholder pages or sections.</w:t>
        <w:br/>
        <w:t>- No authentication, database, payments, real rewards, or real seller claims in this phase.</w:t>
        <w:br/>
        <w:t>- Do not scrape or copy retailer listings. Use licensed/appropriate imagery or clearly handled placeholders.</w:t>
        <w:br/>
        <w:t>- Inspect project files first, implement the feature, run lint/build checks, fix errors, and summarize changed files and remaining issues.</w:t>
        <w:br/>
        <w:t>- Keep components reusable and avoid hardcoding category lists in multiple components; use a single typed data source.</w:t>
        <w:br/>
      </w:r>
    </w:p>
    <w:p>
      <w:pPr>
        <w:pStyle w:val="Heading1"/>
      </w:pPr>
      <w:r>
        <w:t>18. مبدأ التنفيذ</w:t>
      </w:r>
    </w:p>
    <w:p>
      <w:r>
        <w:t>يُنفذ المشروع تدريجيًا. لا يُبنى نظام الدفع أو المكافآت قبل تثبيت قواعده واختباره، ولا تُعتبر بيانات العرض التجريبية أو الأعداد المعروضة بيانات حقيقية. أي قرار غير محسوم في هذه الوثيقة يجب أن يبقى إعدادًا قابلًا للتغيير أو يُستكمل قبل الإطلاق، بدلًا من تثبيته في الكود.</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78"/>
        <w:sz w:val="16"/>
      </w:rPr>
      <w:t>Rontab | Product Requirements &amp; Technical Specification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036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463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24D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046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