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9A2B25"/>
          <w:sz w:val="18"/>
        </w:rPr>
        <w:t>HAPKIDO YONG  ·  INTERNE OPLEIDING</w:t>
      </w:r>
    </w:p>
    <w:p>
      <w:pPr>
        <w:spacing w:before="80" w:after="120"/>
      </w:pPr>
      <w:r>
        <w:rPr>
          <w:b/>
          <w:color w:val="1C231D"/>
          <w:sz w:val="60"/>
        </w:rPr>
        <w:t>Trainerscursus Hapkido Combinatie</w:t>
      </w:r>
    </w:p>
    <w:p>
      <w:pPr>
        <w:spacing w:after="120"/>
      </w:pPr>
      <w:r>
        <w:rPr>
          <w:color w:val="5C665C"/>
          <w:sz w:val="26"/>
        </w:rPr>
        <w:t>Van gevorderd beoefenaar naar instructeur: didactiek, veiligheid en lesvaardigheid, opgebouwd volgens de trap Weten → Begrijpen → Kunnen → Doen.</w:t>
      </w:r>
    </w:p>
    <w:p>
      <w:pPr>
        <w:spacing w:after="280"/>
      </w:pPr>
      <w:r>
        <w:rPr>
          <w:i/>
          <w:color w:val="5C665C"/>
          <w:sz w:val="19"/>
        </w:rPr>
        <w:t>Ontwikkeld voor Hapkido Yong · Master Ron van Beukering, 6e Dan · Berkel-Enschot &amp; Waalwijk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INSTAPEIS</w:t>
            </w:r>
          </w:p>
        </w:tc>
        <w:tc>
          <w:tcPr>
            <w:tcW w:type="dxa" w:w="1949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ERVARING</w:t>
            </w:r>
          </w:p>
        </w:tc>
        <w:tc>
          <w:tcPr>
            <w:tcW w:type="dxa" w:w="1949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DUUR</w:t>
            </w:r>
          </w:p>
        </w:tc>
        <w:tc>
          <w:tcPr>
            <w:tcW w:type="dxa" w:w="1949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GROEP</w:t>
            </w:r>
          </w:p>
        </w:tc>
        <w:tc>
          <w:tcPr>
            <w:tcW w:type="dxa" w:w="1949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DOORLOOPTIJD</w:t>
            </w:r>
          </w:p>
        </w:tc>
      </w:tr>
      <w:tr>
        <w:tc>
          <w:tcPr>
            <w:tcW w:type="dxa" w:w="1949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1e Dan of hoger</w:t>
            </w:r>
          </w:p>
        </w:tc>
        <w:tc>
          <w:tcPr>
            <w:tcW w:type="dxa" w:w="1949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2 jr trainingservaring</w:t>
            </w:r>
          </w:p>
        </w:tc>
        <w:tc>
          <w:tcPr>
            <w:tcW w:type="dxa" w:w="1949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8× 2,5u + stage</w:t>
            </w:r>
          </w:p>
        </w:tc>
        <w:tc>
          <w:tcPr>
            <w:tcW w:type="dxa" w:w="1949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4–8 cursisten</w:t>
            </w:r>
          </w:p>
        </w:tc>
        <w:tc>
          <w:tcPr>
            <w:tcW w:type="dxa" w:w="1949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~12 weken incl. stage</w:t>
            </w:r>
          </w:p>
        </w:tc>
      </w:tr>
    </w:tbl>
    <w:p>
      <w:pPr>
        <w:spacing w:before="80" w:after="80"/>
        <w:pBdr>
          <w:bottom w:val="single" w:sz="6" w:color="D6DCD1"/>
        </w:pBdr>
      </w:pPr>
    </w:p>
    <w:p>
      <w:pPr>
        <w:spacing w:before="280" w:after="40"/>
      </w:pPr>
      <w:r>
        <w:rPr>
          <w:rFonts w:ascii="Calibri" w:hAnsi="Calibri"/>
          <w:b/>
          <w:color w:val="9A2B25"/>
          <w:sz w:val="18"/>
        </w:rPr>
        <w:t>AANPAK</w:t>
      </w:r>
    </w:p>
    <w:p>
      <w:pPr>
        <w:spacing w:before="360" w:after="120"/>
      </w:pPr>
      <w:r>
        <w:rPr>
          <w:rFonts w:ascii="Calibri" w:hAnsi="Calibri"/>
          <w:b/>
          <w:color w:val="1C231D"/>
          <w:sz w:val="30"/>
        </w:rPr>
        <w:t>De trap: weten, begrijpen, kunnen, doen</w:t>
      </w:r>
    </w:p>
    <w:p>
      <w:pPr>
        <w:spacing w:after="160"/>
      </w:pPr>
      <w:r>
        <w:rPr>
          <w:i w:val="0"/>
          <w:color w:val="1C231D"/>
          <w:sz w:val="22"/>
        </w:rPr>
        <w:t>Elke module in deze cursus doorloopt dezelfde vier stappen. We vertrekken steeds vanuit de eigen lespraktijk van de cursist — niet vanuit droge theorie — en werken van kennis naar daadwerkelijk zelfstandig lesgeven.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01 WETEN</w:t>
            </w:r>
          </w:p>
        </w:tc>
        <w:tc>
          <w:tcPr>
            <w:tcW w:type="dxa" w:w="2436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02 BEGRIJPEN</w:t>
            </w:r>
          </w:p>
        </w:tc>
        <w:tc>
          <w:tcPr>
            <w:tcW w:type="dxa" w:w="2436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03 KUNNEN</w:t>
            </w:r>
          </w:p>
        </w:tc>
        <w:tc>
          <w:tcPr>
            <w:tcW w:type="dxa" w:w="2436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04 DOEN</w:t>
            </w:r>
          </w:p>
        </w:tc>
      </w:tr>
      <w:tr>
        <w:tc>
          <w:tcPr>
            <w:tcW w:type="dxa" w:w="2436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Feiten en kader: wat is het, waarom bestaat het zo.</w:t>
            </w:r>
          </w:p>
        </w:tc>
        <w:tc>
          <w:tcPr>
            <w:tcW w:type="dxa" w:w="2436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Betekenis geven: waarom werkt dit zo in de praktijk.</w:t>
            </w:r>
          </w:p>
        </w:tc>
        <w:tc>
          <w:tcPr>
            <w:tcW w:type="dxa" w:w="2436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Vaardigheid inslijpen door gericht te oefenen.</w:t>
            </w:r>
          </w:p>
        </w:tc>
        <w:tc>
          <w:tcPr>
            <w:tcW w:type="dxa" w:w="2436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Zelfstandig toepassen, in een echte les, met een echte groep.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3DCD8"/>
            <w:tcBorders>
              <w:top w:val="single" w:sz="4" w:color="D6DCD1"/>
              <w:left w:val="single" w:sz="24" w:color="9A2B25"/>
              <w:bottom w:val="single" w:sz="4" w:color="D6DCD1"/>
              <w:right w:val="single" w:sz="4" w:color="D6DCD1"/>
            </w:tcBorders>
          </w:tcPr>
          <w:p>
            <w:pPr>
              <w:spacing w:before="120" w:after="120"/>
            </w:pPr>
            <w:r>
              <w:rPr>
                <w:b/>
                <w:color w:val="9A2B25"/>
                <w:sz w:val="21"/>
              </w:rPr>
              <w:t xml:space="preserve">Vertrekpunt is de praktijk. </w:t>
            </w:r>
            <w:r>
              <w:rPr>
                <w:color w:val="1C231D"/>
                <w:sz w:val="21"/>
              </w:rPr>
              <w:t>Elke bijeenkomst start met een concrete situatie die een cursist zelf heeft meegemaakt of gaat meemaken — pas daarna volgt de theoretische onderbouwing.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D6DCD1"/>
        </w:pBdr>
      </w:pPr>
    </w:p>
    <w:p>
      <w:pPr>
        <w:spacing w:before="280" w:after="40"/>
      </w:pPr>
      <w:r>
        <w:rPr>
          <w:rFonts w:ascii="Calibri" w:hAnsi="Calibri"/>
          <w:b/>
          <w:color w:val="9A2B25"/>
          <w:sz w:val="18"/>
        </w:rPr>
        <w:t>MODULES</w:t>
      </w:r>
    </w:p>
    <w:p>
      <w:pPr>
        <w:spacing w:before="360" w:after="120"/>
      </w:pPr>
      <w:r>
        <w:rPr>
          <w:rFonts w:ascii="Calibri" w:hAnsi="Calibri"/>
          <w:b/>
          <w:color w:val="1C231D"/>
          <w:sz w:val="30"/>
        </w:rPr>
        <w:t>Vijf onderdelen, één opbouw</w:t>
      </w:r>
    </w:p>
    <w:p>
      <w:pPr>
        <w:spacing w:after="160"/>
      </w:pPr>
      <w:r>
        <w:rPr>
          <w:i w:val="0"/>
          <w:color w:val="1C231D"/>
          <w:sz w:val="22"/>
        </w:rPr>
        <w:t>Didactiek en veiligheid vormen het fundament; warming-up, cooling-down en technische overdracht zijn waar dat fundament zichtbaar wordt in een echte les.</w:t>
      </w:r>
    </w:p>
    <w:p>
      <w:pPr>
        <w:spacing w:before="320" w:after="40"/>
      </w:pPr>
      <w:r>
        <w:rPr>
          <w:rFonts w:ascii="Calibri" w:hAnsi="Calibri"/>
          <w:b/>
          <w:color w:val="1C231D"/>
          <w:sz w:val="30"/>
        </w:rPr>
        <w:t>01  Didactiek &amp; lesgeven</w:t>
      </w:r>
    </w:p>
    <w:p>
      <w:pPr>
        <w:spacing w:after="120"/>
      </w:pPr>
      <w:r>
        <w:rPr>
          <w:i/>
          <w:color w:val="5C665C"/>
          <w:sz w:val="19"/>
        </w:rPr>
        <w:t>2 bijeenkomsten · theorie + praktijkoefening</w:t>
      </w:r>
    </w:p>
    <w:p>
      <w:pPr>
        <w:spacing w:after="80"/>
      </w:pPr>
      <w:r>
        <w:rPr>
          <w:i w:val="0"/>
          <w:color w:val="1C231D"/>
          <w:sz w:val="22"/>
        </w:rPr>
        <w:t>De basis van elke goede les: niet wát je overdraagt, maar hóe. Cursisten leren een lesfragment voorbereiden, geven en op basis van feedback bijstellen.</w:t>
      </w:r>
    </w:p>
    <w:p>
      <w:pPr>
        <w:spacing w:before="80"/>
      </w:pPr>
      <w:r>
        <w:rPr>
          <w:b/>
          <w:color w:val="9A2B25"/>
          <w:sz w:val="19"/>
        </w:rPr>
        <w:t>Onderwerpen</w:t>
      </w:r>
    </w:p>
    <w:p>
      <w:pPr>
        <w:pStyle w:val="ListBullet"/>
        <w:spacing w:after="60"/>
      </w:pPr>
      <w:r>
        <w:rPr>
          <w:color w:val="1C231D"/>
          <w:sz w:val="21"/>
        </w:rPr>
        <w:t>Lesopbouw: intro, kern, afsluiting</w:t>
      </w:r>
    </w:p>
    <w:p>
      <w:pPr>
        <w:pStyle w:val="ListBullet"/>
        <w:spacing w:after="60"/>
      </w:pPr>
      <w:r>
        <w:rPr>
          <w:color w:val="1C231D"/>
          <w:sz w:val="21"/>
        </w:rPr>
        <w:t>Differentiëren naar leeftijd en niveau (jeugd, volwassenen, gemixt)</w:t>
      </w:r>
    </w:p>
    <w:p>
      <w:pPr>
        <w:pStyle w:val="ListBullet"/>
        <w:spacing w:after="60"/>
      </w:pPr>
      <w:r>
        <w:rPr>
          <w:color w:val="1C231D"/>
          <w:sz w:val="21"/>
        </w:rPr>
        <w:t>Groepsdynamiek en klassenmanagement</w:t>
      </w:r>
    </w:p>
    <w:p>
      <w:pPr>
        <w:pStyle w:val="ListBullet"/>
        <w:spacing w:after="60"/>
      </w:pPr>
      <w:r>
        <w:rPr>
          <w:color w:val="1C231D"/>
          <w:sz w:val="21"/>
        </w:rPr>
        <w:t>Feedback geven: eerst het sterke punt, dan de correctie</w:t>
      </w:r>
    </w:p>
    <w:p>
      <w:pPr>
        <w:pStyle w:val="ListBullet"/>
        <w:spacing w:after="60"/>
      </w:pPr>
      <w:r>
        <w:rPr>
          <w:color w:val="1C231D"/>
          <w:sz w:val="21"/>
        </w:rPr>
        <w:t>Voorbeeldfunctie en toon zetten op de mat</w:t>
      </w:r>
    </w:p>
    <w:p>
      <w:pPr>
        <w:spacing w:before="80"/>
      </w:pPr>
      <w:r>
        <w:rPr>
          <w:b/>
          <w:color w:val="9A2B25"/>
          <w:sz w:val="19"/>
        </w:rPr>
        <w:t>Werkvorm</w:t>
      </w:r>
    </w:p>
    <w:p>
      <w:pPr>
        <w:pStyle w:val="ListBullet"/>
        <w:spacing w:after="60"/>
      </w:pPr>
      <w:r>
        <w:rPr>
          <w:color w:val="1C231D"/>
          <w:sz w:val="21"/>
        </w:rPr>
        <w:t>Zelf een lesfragment (10 min) voorbereiden en geven</w:t>
      </w:r>
    </w:p>
    <w:p>
      <w:pPr>
        <w:pStyle w:val="ListBullet"/>
        <w:spacing w:after="60"/>
      </w:pPr>
      <w:r>
        <w:rPr>
          <w:color w:val="1C231D"/>
          <w:sz w:val="21"/>
        </w:rPr>
        <w:t>Peer-feedback in kleine groepjes</w:t>
      </w:r>
    </w:p>
    <w:p>
      <w:pPr>
        <w:pStyle w:val="ListBullet"/>
        <w:spacing w:after="60"/>
      </w:pPr>
      <w:r>
        <w:rPr>
          <w:color w:val="1C231D"/>
          <w:sz w:val="21"/>
        </w:rPr>
        <w:t>Video-opname eigen lesfragment terugkijken</w:t>
      </w:r>
    </w:p>
    <w:p>
      <w:pPr>
        <w:spacing w:before="80" w:after="80"/>
        <w:pBdr>
          <w:bottom w:val="single" w:sz="6" w:color="D6DCD1"/>
        </w:pBdr>
      </w:pPr>
    </w:p>
    <w:p>
      <w:pPr>
        <w:spacing w:before="320" w:after="40"/>
      </w:pPr>
      <w:r>
        <w:rPr>
          <w:rFonts w:ascii="Calibri" w:hAnsi="Calibri"/>
          <w:b/>
          <w:color w:val="1C231D"/>
          <w:sz w:val="30"/>
        </w:rPr>
        <w:t>02  Veiligheid</w:t>
      </w:r>
    </w:p>
    <w:p>
      <w:pPr>
        <w:spacing w:after="120"/>
      </w:pPr>
      <w:r>
        <w:rPr>
          <w:i/>
          <w:color w:val="5C665C"/>
          <w:sz w:val="19"/>
        </w:rPr>
        <w:t>2 bijeenkomsten · theorie + praktijk op de mat</w:t>
      </w:r>
    </w:p>
    <w:p>
      <w:pPr>
        <w:spacing w:after="80"/>
      </w:pPr>
      <w:r>
        <w:rPr>
          <w:i w:val="0"/>
          <w:color w:val="1C231D"/>
          <w:sz w:val="22"/>
        </w:rPr>
        <w:t>Een instructeur is verantwoordelijk voor de veiligheid van de hele groep, niet alleen de eigen techniek. Dit onderdeel behandelt preventie, ingrijpen en wat te doen als het toch misgaat.</w:t>
      </w:r>
    </w:p>
    <w:p>
      <w:pPr>
        <w:spacing w:before="80"/>
      </w:pPr>
      <w:r>
        <w:rPr>
          <w:b/>
          <w:color w:val="9A2B25"/>
          <w:sz w:val="19"/>
        </w:rPr>
        <w:t>Onderwerpen</w:t>
      </w:r>
    </w:p>
    <w:p>
      <w:pPr>
        <w:pStyle w:val="ListBullet"/>
        <w:spacing w:after="60"/>
      </w:pPr>
      <w:r>
        <w:rPr>
          <w:color w:val="1C231D"/>
          <w:sz w:val="21"/>
        </w:rPr>
        <w:t>Blessurepreventie: opbouw van belasting, juiste warming-up</w:t>
      </w:r>
    </w:p>
    <w:p>
      <w:pPr>
        <w:pStyle w:val="ListBullet"/>
        <w:spacing w:after="60"/>
      </w:pPr>
      <w:r>
        <w:rPr>
          <w:color w:val="1C231D"/>
          <w:sz w:val="21"/>
        </w:rPr>
        <w:t>Toezicht houden: overzicht over de hele mat, tijdig ingrijpen</w:t>
      </w:r>
    </w:p>
    <w:p>
      <w:pPr>
        <w:pStyle w:val="ListBullet"/>
        <w:spacing w:after="60"/>
      </w:pPr>
      <w:r>
        <w:rPr>
          <w:color w:val="1C231D"/>
          <w:sz w:val="21"/>
        </w:rPr>
        <w:t>EHBO/BHV-basiskennis (geldig certificaat aanbevolen)</w:t>
      </w:r>
    </w:p>
    <w:p>
      <w:pPr>
        <w:pStyle w:val="ListBullet"/>
        <w:spacing w:after="60"/>
      </w:pPr>
      <w:r>
        <w:rPr>
          <w:color w:val="1C231D"/>
          <w:sz w:val="21"/>
        </w:rPr>
        <w:t>Protocol bij blessure of incident: melden, verzekering, aansprakelijkheid</w:t>
      </w:r>
    </w:p>
    <w:p>
      <w:pPr>
        <w:pStyle w:val="ListBullet"/>
        <w:spacing w:after="60"/>
      </w:pPr>
      <w:r>
        <w:rPr>
          <w:color w:val="1C231D"/>
          <w:sz w:val="21"/>
        </w:rPr>
        <w:t>Veilig oefenen: tap-signaal, druk opbouwen, direct loslaten</w:t>
      </w:r>
    </w:p>
    <w:p>
      <w:pPr>
        <w:pStyle w:val="ListBullet"/>
        <w:spacing w:after="60"/>
      </w:pPr>
      <w:r>
        <w:rPr>
          <w:color w:val="1C231D"/>
          <w:sz w:val="21"/>
        </w:rPr>
        <w:t>Materiaalcontrole (mat, wapens bij wapentraining)</w:t>
      </w:r>
    </w:p>
    <w:p>
      <w:pPr>
        <w:spacing w:before="80"/>
      </w:pPr>
      <w:r>
        <w:rPr>
          <w:b/>
          <w:color w:val="9A2B25"/>
          <w:sz w:val="19"/>
        </w:rPr>
        <w:t>Werkvorm</w:t>
      </w:r>
    </w:p>
    <w:p>
      <w:pPr>
        <w:pStyle w:val="ListBullet"/>
        <w:spacing w:after="60"/>
      </w:pPr>
      <w:r>
        <w:rPr>
          <w:color w:val="1C231D"/>
          <w:sz w:val="21"/>
        </w:rPr>
        <w:t>Gesuperviseerd begeleiden van klem- en worptechniek in duo's</w:t>
      </w:r>
    </w:p>
    <w:p>
      <w:pPr>
        <w:pStyle w:val="ListBullet"/>
        <w:spacing w:after="60"/>
      </w:pPr>
      <w:r>
        <w:rPr>
          <w:color w:val="1C231D"/>
          <w:sz w:val="21"/>
        </w:rPr>
        <w:t>Incidentscenario doorlopen: wie doet wat, in welke volgorde</w:t>
      </w:r>
    </w:p>
    <w:p>
      <w:pPr>
        <w:pStyle w:val="ListBullet"/>
        <w:spacing w:after="60"/>
      </w:pPr>
      <w:r>
        <w:rPr>
          <w:color w:val="1C231D"/>
          <w:sz w:val="21"/>
        </w:rPr>
        <w:t>Toetsvragen aansprakelijkheid en verzekering</w:t>
      </w:r>
    </w:p>
    <w:p>
      <w:pPr>
        <w:spacing w:before="80" w:after="80"/>
        <w:pBdr>
          <w:bottom w:val="single" w:sz="6" w:color="D6DCD1"/>
        </w:pBdr>
      </w:pPr>
    </w:p>
    <w:p>
      <w:pPr>
        <w:spacing w:before="320" w:after="40"/>
      </w:pPr>
      <w:r>
        <w:rPr>
          <w:rFonts w:ascii="Calibri" w:hAnsi="Calibri"/>
          <w:b/>
          <w:color w:val="1C231D"/>
          <w:sz w:val="30"/>
        </w:rPr>
        <w:t>03  Warming-up</w:t>
      </w:r>
    </w:p>
    <w:p>
      <w:pPr>
        <w:spacing w:after="120"/>
      </w:pPr>
      <w:r>
        <w:rPr>
          <w:i/>
          <w:color w:val="5C665C"/>
          <w:sz w:val="19"/>
        </w:rPr>
        <w:t>1 bijeenkomst · zelf ontwerpen &amp; leiden</w:t>
      </w:r>
    </w:p>
    <w:p>
      <w:pPr>
        <w:spacing w:after="80"/>
      </w:pPr>
      <w:r>
        <w:rPr>
          <w:i w:val="0"/>
          <w:color w:val="1C231D"/>
          <w:sz w:val="22"/>
        </w:rPr>
        <w:t>Een goede warming-up bereidt lichaam én hoofd voor op de les die volgt — en is meteen het eerste moment waarop een instructeur de groep in handen heeft.</w:t>
      </w:r>
    </w:p>
    <w:p>
      <w:pPr>
        <w:spacing w:before="80"/>
      </w:pPr>
      <w:r>
        <w:rPr>
          <w:b/>
          <w:color w:val="9A2B25"/>
          <w:sz w:val="19"/>
        </w:rPr>
        <w:t>Onderwerpen</w:t>
      </w:r>
    </w:p>
    <w:p>
      <w:pPr>
        <w:pStyle w:val="ListBullet"/>
        <w:spacing w:after="60"/>
      </w:pPr>
      <w:r>
        <w:rPr>
          <w:color w:val="1C231D"/>
          <w:sz w:val="21"/>
        </w:rPr>
        <w:t>Algemeen (5–10 min): hartslag rustig omhoog</w:t>
      </w:r>
    </w:p>
    <w:p>
      <w:pPr>
        <w:pStyle w:val="ListBullet"/>
        <w:spacing w:after="60"/>
      </w:pPr>
      <w:r>
        <w:rPr>
          <w:color w:val="1C231D"/>
          <w:sz w:val="21"/>
        </w:rPr>
        <w:t>Specifiek: mobiliteit van gewrichten die in de les worden belast</w:t>
      </w:r>
    </w:p>
    <w:p>
      <w:pPr>
        <w:pStyle w:val="ListBullet"/>
        <w:spacing w:after="60"/>
      </w:pPr>
      <w:r>
        <w:rPr>
          <w:color w:val="1C231D"/>
          <w:sz w:val="21"/>
        </w:rPr>
        <w:t>Sportspecifiek: voetenwerk, valbreken, reactievermogen</w:t>
      </w:r>
    </w:p>
    <w:p>
      <w:pPr>
        <w:spacing w:before="80"/>
      </w:pPr>
      <w:r>
        <w:rPr>
          <w:b/>
          <w:color w:val="9A2B25"/>
          <w:sz w:val="19"/>
        </w:rPr>
        <w:t>Werkvorm</w:t>
      </w:r>
    </w:p>
    <w:p>
      <w:pPr>
        <w:pStyle w:val="ListBullet"/>
        <w:spacing w:after="60"/>
      </w:pPr>
      <w:r>
        <w:rPr>
          <w:color w:val="1C231D"/>
          <w:sz w:val="21"/>
        </w:rPr>
        <w:t>Zelf een warming-up van 8 minuten ontwerpen op het lesonderwerp</w:t>
      </w:r>
    </w:p>
    <w:p>
      <w:pPr>
        <w:pStyle w:val="ListBullet"/>
        <w:spacing w:after="60"/>
      </w:pPr>
      <w:r>
        <w:rPr>
          <w:color w:val="1C231D"/>
          <w:sz w:val="21"/>
        </w:rPr>
        <w:t>Aanpassen op leeftijd: jeugdversie vs. volwassenversie</w:t>
      </w:r>
    </w:p>
    <w:p>
      <w:pPr>
        <w:pStyle w:val="ListBullet"/>
        <w:spacing w:after="60"/>
      </w:pPr>
      <w:r>
        <w:rPr>
          <w:color w:val="1C231D"/>
          <w:sz w:val="21"/>
        </w:rPr>
        <w:t>Zelf voorleiden aan de groep</w:t>
      </w:r>
    </w:p>
    <w:p>
      <w:pPr>
        <w:spacing w:before="80" w:after="80"/>
        <w:pBdr>
          <w:bottom w:val="single" w:sz="6" w:color="D6DCD1"/>
        </w:pBdr>
      </w:pPr>
    </w:p>
    <w:p>
      <w:pPr>
        <w:spacing w:before="320" w:after="40"/>
      </w:pPr>
      <w:r>
        <w:rPr>
          <w:rFonts w:ascii="Calibri" w:hAnsi="Calibri"/>
          <w:b/>
          <w:color w:val="1C231D"/>
          <w:sz w:val="30"/>
        </w:rPr>
        <w:t>04  Cooling-down</w:t>
      </w:r>
    </w:p>
    <w:p>
      <w:pPr>
        <w:spacing w:after="120"/>
      </w:pPr>
      <w:r>
        <w:rPr>
          <w:i/>
          <w:color w:val="5C665C"/>
          <w:sz w:val="19"/>
        </w:rPr>
        <w:t>1 bijeenkomst · zelf ontwerpen &amp; leiden</w:t>
      </w:r>
    </w:p>
    <w:p>
      <w:pPr>
        <w:spacing w:after="80"/>
      </w:pPr>
      <w:r>
        <w:rPr>
          <w:i w:val="0"/>
          <w:color w:val="1C231D"/>
          <w:sz w:val="22"/>
        </w:rPr>
        <w:t>Het rustpunt van de les: hartslag laten zakken, rekken, en de groep bewust laten landen — de plek waar “Focus”, een van de kernwaarden van Hapkido Yong, praktisch vorm krijgt.</w:t>
      </w:r>
    </w:p>
    <w:p>
      <w:pPr>
        <w:spacing w:before="80"/>
      </w:pPr>
      <w:r>
        <w:rPr>
          <w:b/>
          <w:color w:val="9A2B25"/>
          <w:sz w:val="19"/>
        </w:rPr>
        <w:t>Onderwerpen</w:t>
      </w:r>
    </w:p>
    <w:p>
      <w:pPr>
        <w:pStyle w:val="ListBullet"/>
        <w:spacing w:after="60"/>
      </w:pPr>
      <w:r>
        <w:rPr>
          <w:color w:val="1C231D"/>
          <w:sz w:val="21"/>
        </w:rPr>
        <w:t>Statisch rekken van de gebruikte spiergroepen</w:t>
      </w:r>
    </w:p>
    <w:p>
      <w:pPr>
        <w:pStyle w:val="ListBullet"/>
        <w:spacing w:after="60"/>
      </w:pPr>
      <w:r>
        <w:rPr>
          <w:color w:val="1C231D"/>
          <w:sz w:val="21"/>
        </w:rPr>
        <w:t>Ademhaling en korte mentale afsluiting</w:t>
      </w:r>
    </w:p>
    <w:p>
      <w:pPr>
        <w:pStyle w:val="ListBullet"/>
        <w:spacing w:after="60"/>
      </w:pPr>
      <w:r>
        <w:rPr>
          <w:color w:val="1C231D"/>
          <w:sz w:val="21"/>
        </w:rPr>
        <w:t>Korte evaluatie met de groep: “wat neem je vandaag mee?”</w:t>
      </w:r>
    </w:p>
    <w:p>
      <w:pPr>
        <w:spacing w:before="80"/>
      </w:pPr>
      <w:r>
        <w:rPr>
          <w:b/>
          <w:color w:val="9A2B25"/>
          <w:sz w:val="19"/>
        </w:rPr>
        <w:t>Werkvorm</w:t>
      </w:r>
    </w:p>
    <w:p>
      <w:pPr>
        <w:pStyle w:val="ListBullet"/>
        <w:spacing w:after="60"/>
      </w:pPr>
      <w:r>
        <w:rPr>
          <w:color w:val="1C231D"/>
          <w:sz w:val="21"/>
        </w:rPr>
        <w:t>Zelf een cooling-down van 5 minuten leiden</w:t>
      </w:r>
    </w:p>
    <w:p>
      <w:pPr>
        <w:pStyle w:val="ListBullet"/>
        <w:spacing w:after="60"/>
      </w:pPr>
      <w:r>
        <w:rPr>
          <w:color w:val="1C231D"/>
          <w:sz w:val="21"/>
        </w:rPr>
        <w:t>Oefenen met stilte en tempo laten zakken zonder de groep te verliezen</w:t>
      </w:r>
    </w:p>
    <w:p>
      <w:pPr>
        <w:spacing w:before="80" w:after="80"/>
        <w:pBdr>
          <w:bottom w:val="single" w:sz="6" w:color="D6DCD1"/>
        </w:pBdr>
      </w:pPr>
    </w:p>
    <w:p>
      <w:pPr>
        <w:spacing w:before="320" w:after="40"/>
      </w:pPr>
      <w:r>
        <w:rPr>
          <w:rFonts w:ascii="Calibri" w:hAnsi="Calibri"/>
          <w:b/>
          <w:color w:val="1C231D"/>
          <w:sz w:val="30"/>
        </w:rPr>
        <w:t>05  Technische vaardigheden overdragen</w:t>
      </w:r>
    </w:p>
    <w:p>
      <w:pPr>
        <w:spacing w:after="120"/>
      </w:pPr>
      <w:r>
        <w:rPr>
          <w:i/>
          <w:color w:val="5C665C"/>
          <w:sz w:val="19"/>
        </w:rPr>
        <w:t>2 bijeenkomsten · praktijk, in duo's</w:t>
      </w:r>
    </w:p>
    <w:p>
      <w:pPr>
        <w:spacing w:after="80"/>
      </w:pPr>
      <w:r>
        <w:rPr>
          <w:i w:val="0"/>
          <w:color w:val="1C231D"/>
          <w:sz w:val="22"/>
        </w:rPr>
        <w:t>Zelf een techniek beheersen is iets anders dan een techniek kunnen overdragen. Dit onderdeel richt zich op hoe je een beweging opbouwt zodat een groep écht leert, niet alleen kijkt.</w:t>
      </w:r>
    </w:p>
    <w:p>
      <w:pPr>
        <w:spacing w:before="80"/>
      </w:pPr>
      <w:r>
        <w:rPr>
          <w:b/>
          <w:color w:val="9A2B25"/>
          <w:sz w:val="19"/>
        </w:rPr>
        <w:t>Onderwerpen</w:t>
      </w:r>
    </w:p>
    <w:p>
      <w:pPr>
        <w:pStyle w:val="ListBullet"/>
        <w:spacing w:after="60"/>
      </w:pPr>
      <w:r>
        <w:rPr>
          <w:color w:val="1C231D"/>
          <w:sz w:val="21"/>
        </w:rPr>
        <w:t>Progressieve opbouw: geïsoleerde beweging → volledige toepassing → weerstand</w:t>
      </w:r>
    </w:p>
    <w:p>
      <w:pPr>
        <w:pStyle w:val="ListBullet"/>
        <w:spacing w:after="60"/>
      </w:pPr>
      <w:r>
        <w:rPr>
          <w:color w:val="1C231D"/>
          <w:sz w:val="21"/>
        </w:rPr>
        <w:t>Demonstratietechniek: langzaam, vanuit meerdere hoeken, herhaald</w:t>
      </w:r>
    </w:p>
    <w:p>
      <w:pPr>
        <w:pStyle w:val="ListBullet"/>
        <w:spacing w:after="60"/>
      </w:pPr>
      <w:r>
        <w:rPr>
          <w:color w:val="1C231D"/>
          <w:sz w:val="21"/>
        </w:rPr>
        <w:t>Consistente terminologie binnen Hapkido Combinatie</w:t>
      </w:r>
    </w:p>
    <w:p>
      <w:pPr>
        <w:pStyle w:val="ListBullet"/>
        <w:spacing w:after="60"/>
      </w:pPr>
      <w:r>
        <w:rPr>
          <w:color w:val="1C231D"/>
          <w:sz w:val="21"/>
        </w:rPr>
        <w:t>Uke/tori-rollen helder maken aan de groep</w:t>
      </w:r>
    </w:p>
    <w:p>
      <w:pPr>
        <w:pStyle w:val="ListBullet"/>
        <w:spacing w:after="60"/>
      </w:pPr>
      <w:r>
        <w:rPr>
          <w:color w:val="1C231D"/>
          <w:sz w:val="21"/>
        </w:rPr>
        <w:t>Foutanalyse: de meest voorkomende fout herkennen én kort corrigeren</w:t>
      </w:r>
    </w:p>
    <w:p>
      <w:pPr>
        <w:spacing w:before="80"/>
      </w:pPr>
      <w:r>
        <w:rPr>
          <w:b/>
          <w:color w:val="9A2B25"/>
          <w:sz w:val="19"/>
        </w:rPr>
        <w:t>Werkvorm</w:t>
      </w:r>
    </w:p>
    <w:p>
      <w:pPr>
        <w:pStyle w:val="ListBullet"/>
        <w:spacing w:after="60"/>
      </w:pPr>
      <w:r>
        <w:rPr>
          <w:color w:val="1C231D"/>
          <w:sz w:val="21"/>
        </w:rPr>
        <w:t>Zelf een techniek stap voor stap aanleren aan een duo-partner</w:t>
      </w:r>
    </w:p>
    <w:p>
      <w:pPr>
        <w:pStyle w:val="ListBullet"/>
        <w:spacing w:after="60"/>
      </w:pPr>
      <w:r>
        <w:rPr>
          <w:color w:val="1C231D"/>
          <w:sz w:val="21"/>
        </w:rPr>
        <w:t>Bewust een fout laten corrigeren door de cursist</w:t>
      </w:r>
    </w:p>
    <w:p>
      <w:pPr>
        <w:pStyle w:val="ListBullet"/>
        <w:spacing w:after="60"/>
      </w:pPr>
      <w:r>
        <w:rPr>
          <w:color w:val="1C231D"/>
          <w:sz w:val="21"/>
        </w:rPr>
        <w:t>Terugkoppeling van Master Ron van Beukering</w:t>
      </w:r>
    </w:p>
    <w:p>
      <w:pPr>
        <w:spacing w:before="80" w:after="80"/>
        <w:pBdr>
          <w:bottom w:val="single" w:sz="6" w:color="D6DCD1"/>
        </w:pBdr>
      </w:pPr>
    </w:p>
    <w:p>
      <w:pPr>
        <w:spacing w:before="280" w:after="40"/>
      </w:pPr>
      <w:r>
        <w:rPr>
          <w:rFonts w:ascii="Calibri" w:hAnsi="Calibri"/>
          <w:b/>
          <w:color w:val="9A2B25"/>
          <w:sz w:val="18"/>
        </w:rPr>
        <w:t>PRAKTIJK</w:t>
      </w:r>
    </w:p>
    <w:p>
      <w:pPr>
        <w:spacing w:before="360" w:after="120"/>
      </w:pPr>
      <w:r>
        <w:rPr>
          <w:rFonts w:ascii="Calibri" w:hAnsi="Calibri"/>
          <w:b/>
          <w:color w:val="1C231D"/>
          <w:sz w:val="30"/>
        </w:rPr>
        <w:t>Stage: drie begeleide lessen</w:t>
      </w:r>
    </w:p>
    <w:p>
      <w:pPr>
        <w:spacing w:after="160"/>
      </w:pPr>
      <w:r>
        <w:rPr>
          <w:i w:val="0"/>
          <w:color w:val="1C231D"/>
          <w:sz w:val="22"/>
        </w:rPr>
        <w:t>Na de acht bijeenkomsten geeft elke cursist drie lessen (of lesonderdelen) in Berkel-Enschot of Waalwijk, onder toezicht van een senior instructeur. Elke stagesessie wordt na afloop kort nabesproken aan de hand van een vast observatieformulier: opbouw, veiligheid, en of de groep de techniek daadwerkelijk oppikte.</w:t>
      </w:r>
    </w:p>
    <w:p>
      <w:pPr>
        <w:spacing w:before="80" w:after="80"/>
        <w:pBdr>
          <w:bottom w:val="single" w:sz="6" w:color="D6DCD1"/>
        </w:pBdr>
      </w:pPr>
    </w:p>
    <w:p>
      <w:pPr>
        <w:spacing w:before="280" w:after="40"/>
      </w:pPr>
      <w:r>
        <w:rPr>
          <w:rFonts w:ascii="Calibri" w:hAnsi="Calibri"/>
          <w:b/>
          <w:color w:val="9A2B25"/>
          <w:sz w:val="18"/>
        </w:rPr>
        <w:t>TOETSING</w:t>
      </w:r>
    </w:p>
    <w:p>
      <w:pPr>
        <w:spacing w:before="360" w:after="120"/>
      </w:pPr>
      <w:r>
        <w:rPr>
          <w:rFonts w:ascii="Calibri" w:hAnsi="Calibri"/>
          <w:b/>
          <w:color w:val="1C231D"/>
          <w:sz w:val="30"/>
        </w:rPr>
        <w:t>Proeve van bekwaamheid</w:t>
      </w:r>
    </w:p>
    <w:p>
      <w:pPr>
        <w:spacing w:after="160"/>
      </w:pPr>
      <w:r>
        <w:rPr>
          <w:i w:val="0"/>
          <w:color w:val="1C231D"/>
          <w:sz w:val="22"/>
        </w:rPr>
        <w:t>De afsluitende toets is geïnspireerd op de systematiek van de landelijke Kwalificatiestructuur Sport (KSS): geen schriftelijk examen, maar een zelfstandig gegeven lesblok dat op vier vlakken wordt beoordeeld. Dit is geen formele KSS-erkenning — het is een eigen instructeurscertificering binnen Hapkido Combinatie, gebouwd op diezelfde beproefde aanpak.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4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b/>
                <w:color w:val="1C231D"/>
                <w:sz w:val="22"/>
              </w:rPr>
              <w:t>Didactiek</w:t>
            </w:r>
          </w:p>
        </w:tc>
        <w:tc>
          <w:tcPr>
            <w:tcW w:type="dxa" w:w="4873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/>
          </w:p>
          <w:p>
            <w:pPr>
              <w:pStyle w:val="ListBullet"/>
              <w:spacing w:after="40"/>
            </w:pPr>
            <w:r>
              <w:rPr>
                <w:color w:val="1C231D"/>
                <w:sz w:val="20"/>
              </w:rPr>
              <w:t>Heldere lesopbouw: intro, kern, afsluiting</w:t>
            </w:r>
          </w:p>
          <w:p>
            <w:pPr>
              <w:pStyle w:val="ListBullet"/>
              <w:spacing w:after="40"/>
            </w:pPr>
            <w:r>
              <w:rPr>
                <w:color w:val="1C231D"/>
                <w:sz w:val="20"/>
              </w:rPr>
              <w:t>Past het lestempo aan op de reacties van de groep</w:t>
            </w:r>
          </w:p>
          <w:p>
            <w:pPr>
              <w:pStyle w:val="ListBullet"/>
              <w:spacing w:after="40"/>
            </w:pPr>
            <w:r>
              <w:rPr>
                <w:color w:val="1C231D"/>
                <w:sz w:val="20"/>
              </w:rPr>
              <w:t>Geeft concrete, opbouwende feedback aan deelnemers</w:t>
            </w:r>
          </w:p>
        </w:tc>
      </w:tr>
      <w:tr>
        <w:tc>
          <w:tcPr>
            <w:tcW w:type="dxa" w:w="244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b/>
                <w:color w:val="1C231D"/>
                <w:sz w:val="22"/>
              </w:rPr>
              <w:t>Veiligheid</w:t>
            </w:r>
          </w:p>
        </w:tc>
        <w:tc>
          <w:tcPr>
            <w:tcW w:type="dxa" w:w="4873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/>
          </w:p>
          <w:p>
            <w:pPr>
              <w:pStyle w:val="ListBullet"/>
              <w:spacing w:after="40"/>
            </w:pPr>
            <w:r>
              <w:rPr>
                <w:color w:val="1C231D"/>
                <w:sz w:val="20"/>
              </w:rPr>
              <w:t>Houdt overzicht over de hele groep tijdens oefenen</w:t>
            </w:r>
          </w:p>
          <w:p>
            <w:pPr>
              <w:pStyle w:val="ListBullet"/>
              <w:spacing w:after="40"/>
            </w:pPr>
            <w:r>
              <w:rPr>
                <w:color w:val="1C231D"/>
                <w:sz w:val="20"/>
              </w:rPr>
              <w:t>Grijpt tijdig in bij onveilig partnerwerk</w:t>
            </w:r>
          </w:p>
          <w:p>
            <w:pPr>
              <w:pStyle w:val="ListBullet"/>
              <w:spacing w:after="40"/>
            </w:pPr>
            <w:r>
              <w:rPr>
                <w:color w:val="1C231D"/>
                <w:sz w:val="20"/>
              </w:rPr>
              <w:t>Bouwt belasting van technieken herkenbaar op</w:t>
            </w:r>
          </w:p>
        </w:tc>
      </w:tr>
      <w:tr>
        <w:tc>
          <w:tcPr>
            <w:tcW w:type="dxa" w:w="244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b/>
                <w:color w:val="1C231D"/>
                <w:sz w:val="22"/>
              </w:rPr>
              <w:t>Technische correctheid</w:t>
            </w:r>
          </w:p>
        </w:tc>
        <w:tc>
          <w:tcPr>
            <w:tcW w:type="dxa" w:w="4873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/>
          </w:p>
          <w:p>
            <w:pPr>
              <w:pStyle w:val="ListBullet"/>
              <w:spacing w:after="40"/>
            </w:pPr>
            <w:r>
              <w:rPr>
                <w:color w:val="1C231D"/>
                <w:sz w:val="20"/>
              </w:rPr>
              <w:t>Demonstreert de techniek zelf foutloos</w:t>
            </w:r>
          </w:p>
          <w:p>
            <w:pPr>
              <w:pStyle w:val="ListBullet"/>
              <w:spacing w:after="40"/>
            </w:pPr>
            <w:r>
              <w:rPr>
                <w:color w:val="1C231D"/>
                <w:sz w:val="20"/>
              </w:rPr>
              <w:t>Herkent en corrigeert de meest voorkomende fout in de groep</w:t>
            </w:r>
          </w:p>
          <w:p>
            <w:pPr>
              <w:pStyle w:val="ListBullet"/>
              <w:spacing w:after="40"/>
            </w:pPr>
            <w:r>
              <w:rPr>
                <w:color w:val="1C231D"/>
                <w:sz w:val="20"/>
              </w:rPr>
              <w:t>Gebruikt consistente terminologie</w:t>
            </w:r>
          </w:p>
        </w:tc>
      </w:tr>
      <w:tr>
        <w:tc>
          <w:tcPr>
            <w:tcW w:type="dxa" w:w="244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b/>
                <w:color w:val="1C231D"/>
                <w:sz w:val="22"/>
              </w:rPr>
              <w:t>Groepsmanagement</w:t>
            </w:r>
          </w:p>
        </w:tc>
        <w:tc>
          <w:tcPr>
            <w:tcW w:type="dxa" w:w="4873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/>
          </w:p>
          <w:p>
            <w:pPr>
              <w:pStyle w:val="ListBullet"/>
              <w:spacing w:after="40"/>
            </w:pPr>
            <w:r>
              <w:rPr>
                <w:color w:val="1C231D"/>
                <w:sz w:val="20"/>
              </w:rPr>
              <w:t>Krijgt en houdt de aandacht van de groep</w:t>
            </w:r>
          </w:p>
          <w:p>
            <w:pPr>
              <w:pStyle w:val="ListBullet"/>
              <w:spacing w:after="40"/>
            </w:pPr>
            <w:r>
              <w:rPr>
                <w:color w:val="1C231D"/>
                <w:sz w:val="20"/>
              </w:rPr>
              <w:t>Differentieert zichtbaar tussen sterkere en zwakkere deelnemers</w:t>
            </w:r>
          </w:p>
          <w:p>
            <w:pPr>
              <w:pStyle w:val="ListBullet"/>
              <w:spacing w:after="40"/>
            </w:pPr>
            <w:r>
              <w:rPr>
                <w:color w:val="1C231D"/>
                <w:sz w:val="20"/>
              </w:rPr>
              <w:t>Sluit de les af met een korte, duidelijke evaluatie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3DCD8"/>
            <w:tcBorders>
              <w:top w:val="single" w:sz="4" w:color="D6DCD1"/>
              <w:left w:val="single" w:sz="24" w:color="9A2B25"/>
              <w:bottom w:val="single" w:sz="4" w:color="D6DCD1"/>
              <w:right w:val="single" w:sz="4" w:color="D6DCD1"/>
            </w:tcBorders>
          </w:tcPr>
          <w:p>
            <w:pPr>
              <w:spacing w:before="120" w:after="120"/>
            </w:pPr>
            <w:r>
              <w:rPr>
                <w:b/>
                <w:color w:val="9A2B25"/>
                <w:sz w:val="21"/>
              </w:rPr>
              <w:t xml:space="preserve">Bij een positieve beoordeling </w:t>
            </w:r>
            <w:r>
              <w:rPr>
                <w:color w:val="1C231D"/>
                <w:sz w:val="21"/>
              </w:rPr>
              <w:t>ontvangt de cursist een instructeursverklaring Hapkido Combinatie, geldig als bevoegdheid om onder supervisie — en na verloop van tijd zelfstandig — lessen te verzorgen bij Hapkido Yong.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D6DCD1"/>
        </w:pBdr>
      </w:pPr>
    </w:p>
    <w:p>
      <w:pPr>
        <w:spacing w:before="280" w:after="40"/>
      </w:pPr>
      <w:r>
        <w:rPr>
          <w:rFonts w:ascii="Calibri" w:hAnsi="Calibri"/>
          <w:b/>
          <w:color w:val="9A2B25"/>
          <w:sz w:val="18"/>
        </w:rPr>
        <w:t>ROOSTER</w:t>
      </w:r>
    </w:p>
    <w:p>
      <w:pPr>
        <w:spacing w:before="360" w:after="120"/>
      </w:pPr>
      <w:r>
        <w:rPr>
          <w:rFonts w:ascii="Calibri" w:hAnsi="Calibri"/>
          <w:b/>
          <w:color w:val="1C231D"/>
          <w:sz w:val="30"/>
        </w:rPr>
        <w:t>Opbouw in twaalf weken</w:t>
      </w:r>
    </w:p>
    <w:p>
      <w:pPr>
        <w:spacing w:after="160"/>
      </w:pPr>
      <w:r>
        <w:rPr>
          <w:i w:val="0"/>
          <w:color w:val="1C231D"/>
          <w:sz w:val="22"/>
        </w:rPr>
        <w:t>Acht bijeenkomsten van 2,5 uur, gevolgd door een begeleide praktijkstage en het toetsmoment.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08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SESSIE</w:t>
            </w:r>
          </w:p>
        </w:tc>
        <w:tc>
          <w:tcPr>
            <w:tcW w:type="dxa" w:w="5184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ONDERWERP</w:t>
            </w:r>
          </w:p>
        </w:tc>
        <w:tc>
          <w:tcPr>
            <w:tcW w:type="dxa" w:w="2592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MODULE</w:t>
            </w:r>
          </w:p>
        </w:tc>
        <w:tc>
          <w:tcPr>
            <w:tcW w:type="dxa" w:w="1152"/>
            <w:shd w:val="clear" w:fill="F5F6F1"/>
            <w:tcBorders>
              <w:top w:val="single" w:sz="4" w:color="D6DCD1"/>
              <w:left w:val="single" w:sz="4" w:color="D6DCD1"/>
              <w:bottom w:val="single" w:sz="8" w:color="D6DCD1"/>
              <w:right w:val="single" w:sz="4" w:color="D6DCD1"/>
            </w:tcBorders>
          </w:tcPr>
          <w:p>
            <w:r>
              <w:rPr>
                <w:b/>
                <w:color w:val="5C665C"/>
                <w:sz w:val="18"/>
              </w:rPr>
              <w:t>WEEK</w:t>
            </w:r>
          </w:p>
        </w:tc>
      </w:tr>
      <w:tr>
        <w:tc>
          <w:tcPr>
            <w:tcW w:type="dxa" w:w="100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01</w:t>
            </w:r>
          </w:p>
        </w:tc>
        <w:tc>
          <w:tcPr>
            <w:tcW w:type="dxa" w:w="5184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Kennismaking &amp; lesopbouw (Weten/Begrijpen)</w:t>
            </w:r>
          </w:p>
        </w:tc>
        <w:tc>
          <w:tcPr>
            <w:tcW w:type="dxa" w:w="259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Didactiek I</w:t>
            </w:r>
          </w:p>
        </w:tc>
        <w:tc>
          <w:tcPr>
            <w:tcW w:type="dxa" w:w="115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1</w:t>
            </w:r>
          </w:p>
        </w:tc>
      </w:tr>
      <w:tr>
        <w:tc>
          <w:tcPr>
            <w:tcW w:type="dxa" w:w="100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02</w:t>
            </w:r>
          </w:p>
        </w:tc>
        <w:tc>
          <w:tcPr>
            <w:tcW w:type="dxa" w:w="5184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Zelf lesfragment geven &amp; feedback (Kunnen/Doen)</w:t>
            </w:r>
          </w:p>
        </w:tc>
        <w:tc>
          <w:tcPr>
            <w:tcW w:type="dxa" w:w="259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Didactiek II</w:t>
            </w:r>
          </w:p>
        </w:tc>
        <w:tc>
          <w:tcPr>
            <w:tcW w:type="dxa" w:w="115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2</w:t>
            </w:r>
          </w:p>
        </w:tc>
      </w:tr>
      <w:tr>
        <w:tc>
          <w:tcPr>
            <w:tcW w:type="dxa" w:w="100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03</w:t>
            </w:r>
          </w:p>
        </w:tc>
        <w:tc>
          <w:tcPr>
            <w:tcW w:type="dxa" w:w="5184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Blessurepreventie, toezicht, EHBO-basis</w:t>
            </w:r>
          </w:p>
        </w:tc>
        <w:tc>
          <w:tcPr>
            <w:tcW w:type="dxa" w:w="259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Veiligheid I</w:t>
            </w:r>
          </w:p>
        </w:tc>
        <w:tc>
          <w:tcPr>
            <w:tcW w:type="dxa" w:w="115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3</w:t>
            </w:r>
          </w:p>
        </w:tc>
      </w:tr>
      <w:tr>
        <w:tc>
          <w:tcPr>
            <w:tcW w:type="dxa" w:w="100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04</w:t>
            </w:r>
          </w:p>
        </w:tc>
        <w:tc>
          <w:tcPr>
            <w:tcW w:type="dxa" w:w="5184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Protocol, aansprakelijkheid, veilig begeleiden</w:t>
            </w:r>
          </w:p>
        </w:tc>
        <w:tc>
          <w:tcPr>
            <w:tcW w:type="dxa" w:w="259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Veiligheid II</w:t>
            </w:r>
          </w:p>
        </w:tc>
        <w:tc>
          <w:tcPr>
            <w:tcW w:type="dxa" w:w="115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4</w:t>
            </w:r>
          </w:p>
        </w:tc>
      </w:tr>
      <w:tr>
        <w:tc>
          <w:tcPr>
            <w:tcW w:type="dxa" w:w="100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05</w:t>
            </w:r>
          </w:p>
        </w:tc>
        <w:tc>
          <w:tcPr>
            <w:tcW w:type="dxa" w:w="5184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Warming-up en cooling-down ontwerpen &amp; leiden</w:t>
            </w:r>
          </w:p>
        </w:tc>
        <w:tc>
          <w:tcPr>
            <w:tcW w:type="dxa" w:w="259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Warming-up / Cooling-down</w:t>
            </w:r>
          </w:p>
        </w:tc>
        <w:tc>
          <w:tcPr>
            <w:tcW w:type="dxa" w:w="115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5</w:t>
            </w:r>
          </w:p>
        </w:tc>
      </w:tr>
      <w:tr>
        <w:tc>
          <w:tcPr>
            <w:tcW w:type="dxa" w:w="100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06</w:t>
            </w:r>
          </w:p>
        </w:tc>
        <w:tc>
          <w:tcPr>
            <w:tcW w:type="dxa" w:w="5184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Progressieve opbouw &amp; demonstratietechniek</w:t>
            </w:r>
          </w:p>
        </w:tc>
        <w:tc>
          <w:tcPr>
            <w:tcW w:type="dxa" w:w="259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Techniek overdragen I</w:t>
            </w:r>
          </w:p>
        </w:tc>
        <w:tc>
          <w:tcPr>
            <w:tcW w:type="dxa" w:w="115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7</w:t>
            </w:r>
          </w:p>
        </w:tc>
      </w:tr>
      <w:tr>
        <w:tc>
          <w:tcPr>
            <w:tcW w:type="dxa" w:w="100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07</w:t>
            </w:r>
          </w:p>
        </w:tc>
        <w:tc>
          <w:tcPr>
            <w:tcW w:type="dxa" w:w="5184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Foutanalyse &amp; corrigeren in duo's</w:t>
            </w:r>
          </w:p>
        </w:tc>
        <w:tc>
          <w:tcPr>
            <w:tcW w:type="dxa" w:w="259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Techniek overdragen II</w:t>
            </w:r>
          </w:p>
        </w:tc>
        <w:tc>
          <w:tcPr>
            <w:tcW w:type="dxa" w:w="115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8</w:t>
            </w:r>
          </w:p>
        </w:tc>
      </w:tr>
      <w:tr>
        <w:tc>
          <w:tcPr>
            <w:tcW w:type="dxa" w:w="100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08</w:t>
            </w:r>
          </w:p>
        </w:tc>
        <w:tc>
          <w:tcPr>
            <w:tcW w:type="dxa" w:w="5184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Voorbereiding stage &amp; intervisie</w:t>
            </w:r>
          </w:p>
        </w:tc>
        <w:tc>
          <w:tcPr>
            <w:tcW w:type="dxa" w:w="259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Alle modules</w:t>
            </w:r>
          </w:p>
        </w:tc>
        <w:tc>
          <w:tcPr>
            <w:tcW w:type="dxa" w:w="115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9</w:t>
            </w:r>
          </w:p>
        </w:tc>
      </w:tr>
      <w:tr>
        <w:tc>
          <w:tcPr>
            <w:tcW w:type="dxa" w:w="100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—</w:t>
            </w:r>
          </w:p>
        </w:tc>
        <w:tc>
          <w:tcPr>
            <w:tcW w:type="dxa" w:w="5184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Praktijkstage: 3 begeleide lessen</w:t>
            </w:r>
          </w:p>
        </w:tc>
        <w:tc>
          <w:tcPr>
            <w:tcW w:type="dxa" w:w="259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Praktijk</w:t>
            </w:r>
          </w:p>
        </w:tc>
        <w:tc>
          <w:tcPr>
            <w:tcW w:type="dxa" w:w="115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10–11</w:t>
            </w:r>
          </w:p>
        </w:tc>
      </w:tr>
      <w:tr>
        <w:tc>
          <w:tcPr>
            <w:tcW w:type="dxa" w:w="1008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—</w:t>
            </w:r>
          </w:p>
        </w:tc>
        <w:tc>
          <w:tcPr>
            <w:tcW w:type="dxa" w:w="5184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Proeve van bekwaamheid</w:t>
            </w:r>
          </w:p>
        </w:tc>
        <w:tc>
          <w:tcPr>
            <w:tcW w:type="dxa" w:w="259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Toetsing</w:t>
            </w:r>
          </w:p>
        </w:tc>
        <w:tc>
          <w:tcPr>
            <w:tcW w:type="dxa" w:w="1152"/>
            <w:tcBorders>
              <w:top w:val="single" w:sz="4" w:color="D6DCD1"/>
              <w:left w:val="single" w:sz="4" w:color="D6DCD1"/>
              <w:bottom w:val="single" w:sz="4" w:color="D6DCD1"/>
              <w:right w:val="single" w:sz="4" w:color="D6DCD1"/>
            </w:tcBorders>
          </w:tcPr>
          <w:p>
            <w:r>
              <w:rPr>
                <w:color w:val="1C231D"/>
                <w:sz w:val="20"/>
              </w:rPr>
              <w:t>12</w:t>
            </w:r>
          </w:p>
        </w:tc>
      </w:tr>
    </w:tbl>
    <w:p>
      <w:pPr>
        <w:spacing w:before="80" w:after="80"/>
        <w:pBdr>
          <w:bottom w:val="single" w:sz="6" w:color="D6DCD1"/>
        </w:pBdr>
      </w:pPr>
    </w:p>
    <w:p>
      <w:pPr>
        <w:spacing w:before="280" w:after="40"/>
      </w:pPr>
      <w:r>
        <w:rPr>
          <w:rFonts w:ascii="Calibri" w:hAnsi="Calibri"/>
          <w:b/>
          <w:color w:val="9A2B25"/>
          <w:sz w:val="18"/>
        </w:rPr>
        <w:t>REFERENTIE</w:t>
      </w:r>
    </w:p>
    <w:p>
      <w:pPr>
        <w:spacing w:before="360" w:after="120"/>
      </w:pPr>
      <w:r>
        <w:rPr>
          <w:rFonts w:ascii="Calibri" w:hAnsi="Calibri"/>
          <w:b/>
          <w:color w:val="1C231D"/>
          <w:sz w:val="30"/>
        </w:rPr>
        <w:t>Bandniveaus binnen Hapkido Combinatie</w:t>
      </w:r>
    </w:p>
    <w:p>
      <w:pPr>
        <w:spacing w:after="160"/>
      </w:pPr>
      <w:r>
        <w:rPr>
          <w:i w:val="0"/>
          <w:color w:val="1C231D"/>
          <w:sz w:val="22"/>
        </w:rPr>
        <w:t>De instapeis voor deze cursus (1e Dan) sluit aan op hetzelfde bandsysteem als de bestaande Academie-training voor gevorderden: Wit → Geel → Groen → Blauw → Rood → Zwart (1e Dan+). Vanaf zwarte band (1e Dan) is deze trainerscursus toegankelijk.</w:t>
      </w:r>
    </w:p>
    <w:p>
      <w:pPr>
        <w:spacing w:before="400"/>
      </w:pPr>
    </w:p>
    <w:p>
      <w:pPr>
        <w:spacing w:before="80" w:after="80"/>
        <w:pBdr>
          <w:bottom w:val="single" w:sz="6" w:color="D6DCD1"/>
        </w:pBdr>
      </w:pPr>
    </w:p>
    <w:p>
      <w:r>
        <w:rPr>
          <w:i/>
          <w:color w:val="5C665C"/>
          <w:sz w:val="17"/>
        </w:rPr>
        <w:t>Hapkido Yong · Berkel-Enschot &amp; Waalwijk — Trainerscursus Hapkido Combinatie · concept-versie, vrij te bewerken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C23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