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C52A" w14:textId="77777777" w:rsidR="0016299F" w:rsidRDefault="00000000">
      <w:pPr>
        <w:spacing w:before="2400"/>
        <w:jc w:val="center"/>
      </w:pPr>
      <w:r>
        <w:rPr>
          <w:b/>
          <w:bCs/>
        </w:rPr>
        <w:t>Modelo de datos de la tienda de confección: explicación del diagrama entidad-relación</w:t>
      </w:r>
    </w:p>
    <w:p w14:paraId="00DCBFEB" w14:textId="77777777" w:rsidR="0016299F" w:rsidRDefault="0016299F">
      <w:pPr>
        <w:jc w:val="center"/>
      </w:pPr>
    </w:p>
    <w:p w14:paraId="2074D32F" w14:textId="77777777" w:rsidR="00CA191A" w:rsidRPr="00EC444E" w:rsidRDefault="00CA191A" w:rsidP="00CA191A">
      <w:pPr>
        <w:spacing w:line="360" w:lineRule="auto"/>
        <w:jc w:val="center"/>
        <w:rPr>
          <w:lang w:val="es-ES"/>
        </w:rPr>
      </w:pPr>
      <w:r w:rsidRPr="00EC444E">
        <w:rPr>
          <w:lang w:val="es-ES"/>
        </w:rPr>
        <w:t xml:space="preserve">Alegría Machaca, Henry José </w:t>
      </w:r>
    </w:p>
    <w:p w14:paraId="3CD67B48" w14:textId="77777777" w:rsidR="00CA191A" w:rsidRPr="00EC444E" w:rsidRDefault="00CA191A" w:rsidP="00CA191A">
      <w:pPr>
        <w:spacing w:line="360" w:lineRule="auto"/>
        <w:jc w:val="center"/>
        <w:rPr>
          <w:lang w:val="es-ES"/>
        </w:rPr>
      </w:pPr>
      <w:r w:rsidRPr="00EC444E">
        <w:rPr>
          <w:lang w:val="es-ES"/>
        </w:rPr>
        <w:t>Castillo Cáceres, Rony</w:t>
      </w:r>
    </w:p>
    <w:p w14:paraId="0B443E65" w14:textId="77777777" w:rsidR="00CA191A" w:rsidRPr="00EC444E" w:rsidRDefault="00CA191A" w:rsidP="00CA191A">
      <w:pPr>
        <w:spacing w:line="360" w:lineRule="auto"/>
        <w:jc w:val="center"/>
        <w:rPr>
          <w:lang w:val="es-ES"/>
        </w:rPr>
      </w:pPr>
      <w:r w:rsidRPr="00EC444E">
        <w:rPr>
          <w:lang w:val="es-ES"/>
        </w:rPr>
        <w:t xml:space="preserve">Rojas Cachi, Carlos Mauricio </w:t>
      </w:r>
    </w:p>
    <w:p w14:paraId="541A55DF" w14:textId="77777777" w:rsidR="00CA191A" w:rsidRPr="00EC444E" w:rsidRDefault="00CA191A" w:rsidP="00CA191A">
      <w:pPr>
        <w:spacing w:line="360" w:lineRule="auto"/>
        <w:jc w:val="center"/>
        <w:rPr>
          <w:lang w:val="es-ES"/>
        </w:rPr>
      </w:pPr>
      <w:r w:rsidRPr="00EC444E">
        <w:rPr>
          <w:lang w:val="es-ES"/>
        </w:rPr>
        <w:t>Verástegui De La Cruz, Leonard Euler</w:t>
      </w:r>
    </w:p>
    <w:p w14:paraId="3D3F2B2E" w14:textId="555E4EEE" w:rsidR="0016299F" w:rsidRDefault="00CA191A">
      <w:pPr>
        <w:jc w:val="center"/>
      </w:pPr>
      <w:proofErr w:type="spellStart"/>
      <w:r>
        <w:t>Ingenieria</w:t>
      </w:r>
      <w:proofErr w:type="spellEnd"/>
      <w:r>
        <w:t xml:space="preserve"> de sistemas, Universidad Nacional de Cajamarca</w:t>
      </w:r>
    </w:p>
    <w:p w14:paraId="3B686827" w14:textId="5896CEBA" w:rsidR="0016299F" w:rsidRDefault="00CA191A">
      <w:pPr>
        <w:jc w:val="center"/>
      </w:pPr>
      <w:r>
        <w:t>Programación Aplicada II</w:t>
      </w:r>
    </w:p>
    <w:p w14:paraId="32DC9A87" w14:textId="77777777" w:rsidR="00CA191A" w:rsidRPr="00A406B0" w:rsidRDefault="00CA191A" w:rsidP="00CA191A">
      <w:pPr>
        <w:spacing w:line="360" w:lineRule="auto"/>
        <w:jc w:val="center"/>
      </w:pPr>
      <w:r>
        <w:rPr>
          <w:bCs/>
          <w:lang w:val="es-ES"/>
        </w:rPr>
        <w:t>Meza Huaman Jaime Amador</w:t>
      </w:r>
    </w:p>
    <w:p w14:paraId="08F7110C" w14:textId="77777777" w:rsidR="0016299F" w:rsidRDefault="00000000">
      <w:pPr>
        <w:jc w:val="center"/>
      </w:pPr>
      <w:r>
        <w:t>29 de septiembre de 2026</w:t>
      </w:r>
    </w:p>
    <w:p w14:paraId="0955C0FF" w14:textId="77777777" w:rsidR="0016299F" w:rsidRDefault="00000000">
      <w:pPr>
        <w:pageBreakBefore/>
        <w:jc w:val="center"/>
      </w:pPr>
      <w:r>
        <w:rPr>
          <w:b/>
          <w:bCs/>
        </w:rPr>
        <w:lastRenderedPageBreak/>
        <w:t>Modelo de datos de la tienda de confección</w:t>
      </w:r>
    </w:p>
    <w:p w14:paraId="39D99CA0" w14:textId="77777777" w:rsidR="0016299F" w:rsidRDefault="00000000">
      <w:pPr>
        <w:ind w:firstLine="720"/>
      </w:pPr>
      <w:r>
        <w:t>La tienda confecciona polos, camisas y shorts por encargo y, además, vende prendas ya terminadas, como polos y conjuntos de casaca y pantalón. Cuando el cliente lo desea, propone su propio diseño y elige la tela. Toda esa información se guarda en una base de datos que usa únicamente el vendedor a través de una página web; el cliente no tiene acceso. Este documento explica, con palabras sencillas, qué datos se guardan y cómo se conectan entre sí.</w:t>
      </w:r>
    </w:p>
    <w:p w14:paraId="6C5A837C" w14:textId="77777777" w:rsidR="0016299F" w:rsidRDefault="00000000">
      <w:pPr>
        <w:ind w:firstLine="720"/>
      </w:pPr>
      <w:r>
        <w:t xml:space="preserve">El modelo sigue el enfoque entidad-relación (Chen, 1976) y está normalizado (Codd, 1970; Elmasri y </w:t>
      </w:r>
      <w:proofErr w:type="spellStart"/>
      <w:r>
        <w:t>Navathe</w:t>
      </w:r>
      <w:proofErr w:type="spellEnd"/>
      <w:r>
        <w:t>, 2016): cada dato se guarda en un solo lugar y se enlaza con los demás mediante códigos. Así se evitan las repeticiones y las contradicciones, como tener dos teléfonos distintos para el mismo cliente.</w:t>
      </w:r>
    </w:p>
    <w:p w14:paraId="47FED6CF" w14:textId="77777777" w:rsidR="0016299F" w:rsidRDefault="00000000">
      <w:pPr>
        <w:pStyle w:val="Ttulo1"/>
        <w:keepNext/>
      </w:pPr>
      <w:r>
        <w:t>Vista general del modelo</w:t>
      </w:r>
    </w:p>
    <w:p w14:paraId="1683A210" w14:textId="77777777" w:rsidR="0016299F" w:rsidRDefault="00000000">
      <w:pPr>
        <w:ind w:firstLine="720"/>
      </w:pPr>
      <w:r>
        <w:t>La Figura 1 presenta el modelo simplificado y organizado en cuatro bloques de color. Para que sea fácil de seguir, muestra solo los nombres de las tablas y sus relaciones principales; el diagrama completo, con todos los campos, se encuentra en el Apéndice.</w:t>
      </w:r>
    </w:p>
    <w:p w14:paraId="52ECF1A4" w14:textId="77777777" w:rsidR="0016299F" w:rsidRDefault="00000000">
      <w:pPr>
        <w:keepNext/>
        <w:spacing w:line="240" w:lineRule="auto"/>
      </w:pPr>
      <w:r>
        <w:rPr>
          <w:b/>
          <w:bCs/>
        </w:rPr>
        <w:lastRenderedPageBreak/>
        <w:t>Figura 1</w:t>
      </w:r>
    </w:p>
    <w:p w14:paraId="66FEF266" w14:textId="77777777" w:rsidR="0016299F" w:rsidRDefault="00000000">
      <w:pPr>
        <w:keepNext/>
        <w:spacing w:after="120" w:line="240" w:lineRule="auto"/>
      </w:pPr>
      <w:r>
        <w:rPr>
          <w:i/>
          <w:iCs/>
        </w:rPr>
        <w:t>Vista general del modelo de datos por bloques</w:t>
      </w:r>
    </w:p>
    <w:p w14:paraId="5DA61A61" w14:textId="5730E9FC" w:rsidR="0016299F" w:rsidRDefault="000D7086">
      <w:pPr>
        <w:keepNext/>
        <w:spacing w:line="240" w:lineRule="auto"/>
        <w:jc w:val="center"/>
      </w:pPr>
      <w:r w:rsidRPr="00720D50">
        <w:rPr>
          <w:bCs/>
          <w:lang w:val="es-ES"/>
        </w:rPr>
        <w:drawing>
          <wp:inline distT="0" distB="0" distL="0" distR="0" wp14:anchorId="0A8D4FF4" wp14:editId="08D34C43">
            <wp:extent cx="4426200" cy="3298809"/>
            <wp:effectExtent l="190500" t="190500" r="184150" b="187960"/>
            <wp:docPr id="139850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102" cy="33128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4EE796" w14:textId="77BC258D" w:rsidR="0016299F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Las cajas grises son catálogos (listas de opciones fijas) y las líneas punteadas los conectan con las tablas que los usan. El vendedor (USUARIO) también queda registrado en cada pago; esa relación no se dibujó para no saturar la figura.</w:t>
      </w:r>
    </w:p>
    <w:p w14:paraId="10AFC7DC" w14:textId="409244AA" w:rsidR="000D7086" w:rsidRDefault="000D7086" w:rsidP="000E525A">
      <w:pPr>
        <w:pStyle w:val="Ttulo1"/>
        <w:keepNext/>
      </w:pPr>
      <w:r>
        <w:t xml:space="preserve">    </w:t>
      </w:r>
    </w:p>
    <w:p w14:paraId="7F207F22" w14:textId="77777777" w:rsidR="000D7086" w:rsidRDefault="000D7086">
      <w:pPr>
        <w:pStyle w:val="Ttulo1"/>
        <w:keepNext/>
      </w:pPr>
    </w:p>
    <w:p w14:paraId="161731FF" w14:textId="243ACEE9" w:rsidR="0016299F" w:rsidRDefault="00000000">
      <w:pPr>
        <w:pStyle w:val="Ttulo1"/>
        <w:keepNext/>
      </w:pPr>
      <w:r>
        <w:t>Los cuatro bloques explicados</w:t>
      </w:r>
    </w:p>
    <w:p w14:paraId="12E5C893" w14:textId="77777777" w:rsidR="0016299F" w:rsidRDefault="00000000">
      <w:pPr>
        <w:pStyle w:val="Ttulo2"/>
        <w:keepNext/>
      </w:pPr>
      <w:r>
        <w:t>Bloque 1. Clientes, pedidos y vendedores</w:t>
      </w:r>
    </w:p>
    <w:p w14:paraId="144C6714" w14:textId="77777777" w:rsidR="0016299F" w:rsidRDefault="00000000">
      <w:pPr>
        <w:ind w:firstLine="720"/>
      </w:pPr>
      <w:r>
        <w:t xml:space="preserve">Todo comienza con el pedido, que equivale a la boleta: tiene número de boleta, fecha de emisión, fecha de entrega prometida, estado y total. Un cliente puede hacer muchos pedidos, pero </w:t>
      </w:r>
      <w:r w:rsidRPr="000D7086">
        <w:rPr>
          <w:b/>
          <w:bCs/>
        </w:rPr>
        <w:t>cada pedido pertenece a un solo cliente</w:t>
      </w:r>
      <w:r>
        <w:t>. Cada pedido indica su modalidad (stock, si se vende una prenda ya hecha, o confección, si se fabrica a medida) y su estado (pendiente, listo, entregado o anulado). Esas opciones salen de catálogos para que nadie escriba «entregado» de tres maneras distintas. Además, se guarda qué vendedor registró el pedido.</w:t>
      </w:r>
    </w:p>
    <w:p w14:paraId="521B1C2B" w14:textId="77777777" w:rsidR="0016299F" w:rsidRDefault="00000000">
      <w:pPr>
        <w:pStyle w:val="Ttulo2"/>
        <w:keepNext/>
      </w:pPr>
      <w:r>
        <w:lastRenderedPageBreak/>
        <w:t>Bloque 2. Productos, tallas y stock</w:t>
      </w:r>
    </w:p>
    <w:p w14:paraId="75147669" w14:textId="77777777" w:rsidR="0016299F" w:rsidRDefault="00000000">
      <w:pPr>
        <w:ind w:firstLine="720"/>
      </w:pPr>
      <w:r>
        <w:t>Los productos son las prendas terminadas que se venden, agrupadas por categoría: polo, camisa, short o conjunto. Como el inventario depende de la talla, cada producto se relaciona con varias tallas y, para cada combinación, se anota cuántas unidades hay y cuál es el mínimo antes de reponer. Por ejemplo, del mismo polo pueden quedar 12 unidades en talla M y solo 2 en talla L. Cada vez que el stock cambia (ingreso de mercadería, venta, ajuste o devolución) se guarda un movimiento con su fecha, cantidad y responsable, de modo que siempre se puede explicar por qué una talla tiene las unidades que tiene.</w:t>
      </w:r>
    </w:p>
    <w:p w14:paraId="2D0F7D5A" w14:textId="77777777" w:rsidR="0016299F" w:rsidRDefault="00000000">
      <w:pPr>
        <w:pStyle w:val="Ttulo2"/>
        <w:keepNext/>
      </w:pPr>
      <w:r>
        <w:t>Bloque 3. Contenido del pedido</w:t>
      </w:r>
    </w:p>
    <w:p w14:paraId="4648AC0E" w14:textId="77777777" w:rsidR="0016299F" w:rsidRDefault="00000000">
      <w:pPr>
        <w:ind w:firstLine="720"/>
      </w:pPr>
      <w:r>
        <w:t>Un pedido tiene una o varias líneas; cada línea indica cantidad, precio pactado y subtotal. Hay dos caminos. Si la línea es de stock, se enlaza con la prenda y la talla vendidas. Si es a medida, la línea no apunta a ningún producto y se completa una ficha de confección con el tipo de prenda, la tela elegida, la talla, el tipo de estampado (por ejemplo, DTF), la descripción del diseño y la ubicación de la imagen. Esa ficha existe solo en las líneas a medida.</w:t>
      </w:r>
    </w:p>
    <w:p w14:paraId="6CFD5E10" w14:textId="77777777" w:rsidR="0016299F" w:rsidRDefault="00000000">
      <w:pPr>
        <w:pStyle w:val="Ttulo2"/>
        <w:keepNext/>
      </w:pPr>
      <w:r>
        <w:t>Bloque 4. Pagos</w:t>
      </w:r>
    </w:p>
    <w:p w14:paraId="4F0E88DE" w14:textId="77777777" w:rsidR="0016299F" w:rsidRDefault="00000000">
      <w:pPr>
        <w:ind w:firstLine="720"/>
      </w:pPr>
      <w:r>
        <w:t>El cliente puede pagar en partes: un adelanto y una cancelación final, en efectivo, Yape o BCP. Cada pago es un registro ligado a su pedido, con fecha, monto, tipo, método, número de operación (opcional) y el vendedor que cobró. El saldo no se guarda: se calcula restando al total del pedido la suma de sus pagos, de manera que nunca queda desactualizado.</w:t>
      </w:r>
    </w:p>
    <w:p w14:paraId="7BA58CA1" w14:textId="77777777" w:rsidR="0016299F" w:rsidRDefault="00000000">
      <w:pPr>
        <w:pStyle w:val="Ttulo1"/>
        <w:keepNext/>
      </w:pPr>
      <w:r>
        <w:t>Las relaciones en lenguaje sencillo</w:t>
      </w:r>
    </w:p>
    <w:p w14:paraId="1910F07B" w14:textId="77777777" w:rsidR="0016299F" w:rsidRDefault="00000000">
      <w:pPr>
        <w:keepNext/>
        <w:ind w:firstLine="720"/>
      </w:pPr>
      <w:r>
        <w:t>La Tabla 2 traduce cada relación principal a una frase que se puede leer en voz alta.</w:t>
      </w:r>
    </w:p>
    <w:p w14:paraId="39E6590E" w14:textId="77777777" w:rsidR="0016299F" w:rsidRDefault="00000000">
      <w:pPr>
        <w:keepNext/>
        <w:spacing w:line="240" w:lineRule="auto"/>
      </w:pPr>
      <w:r>
        <w:rPr>
          <w:b/>
          <w:bCs/>
        </w:rPr>
        <w:t>Tabla 2</w:t>
      </w:r>
    </w:p>
    <w:p w14:paraId="54F334AB" w14:textId="77777777" w:rsidR="0016299F" w:rsidRDefault="00000000">
      <w:pPr>
        <w:keepNext/>
        <w:spacing w:after="120" w:line="240" w:lineRule="auto"/>
      </w:pPr>
      <w:r>
        <w:rPr>
          <w:i/>
          <w:iCs/>
        </w:rPr>
        <w:t>Cómo se lee cada relación principal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16299F" w14:paraId="23D9471F" w14:textId="77777777">
        <w:trPr>
          <w:cantSplit/>
          <w:tblHeader/>
        </w:trPr>
        <w:tc>
          <w:tcPr>
            <w:tcW w:w="3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6202" w14:textId="77777777" w:rsidR="0016299F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Relación</w:t>
            </w:r>
          </w:p>
        </w:tc>
        <w:tc>
          <w:tcPr>
            <w:tcW w:w="52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B10E" w14:textId="77777777" w:rsidR="0016299F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Se lee así</w:t>
            </w:r>
          </w:p>
        </w:tc>
      </w:tr>
      <w:tr w:rsidR="0016299F" w14:paraId="4C51B6B2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A2C5A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CLIENTE – PEDIDO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6C77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 cliente puede tener muchos pedidos; cada pedido es de un solo cliente.</w:t>
            </w:r>
          </w:p>
        </w:tc>
      </w:tr>
      <w:tr w:rsidR="0016299F" w14:paraId="69E3E55E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9D9B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PEDIDO – DETALLE_PEDIDO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466E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 pedido tiene una o más líneas; cada línea pertenece a un solo pedido.</w:t>
            </w:r>
          </w:p>
        </w:tc>
      </w:tr>
      <w:tr w:rsidR="0016299F" w14:paraId="1C1B9172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2734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PEDIDO – PAGO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F0D9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 pedido puede recibir varios pagos (o ninguno todavía); cada pago corresponde a un solo pedido.</w:t>
            </w:r>
          </w:p>
        </w:tc>
      </w:tr>
      <w:tr w:rsidR="0016299F" w14:paraId="0BF8FC77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7895E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CATEGORIA – PRODUCTO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DBDF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Una categoría agrupa muchos productos; cada producto tiene una categoría.</w:t>
            </w:r>
          </w:p>
        </w:tc>
      </w:tr>
      <w:tr w:rsidR="0016299F" w14:paraId="3611E6A6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1DD8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PRODUCTO – PRODUCTO_TALLA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E5A6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 producto se ofrece en varias tallas y cada talla tiene su propio stock.</w:t>
            </w:r>
          </w:p>
        </w:tc>
      </w:tr>
      <w:tr w:rsidR="0016299F" w14:paraId="29D7EF29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43DF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PRODUCTO_TALLA – DETALLE_PEDIDO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AC7C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Una prenda en una talla puede venderse en muchas líneas de pedido.</w:t>
            </w:r>
          </w:p>
        </w:tc>
      </w:tr>
      <w:tr w:rsidR="0016299F" w14:paraId="4FFD0597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B0C4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DETALLE_PEDIDO – DETALLE_CONFECCION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23DF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Una línea a medida tiene una ficha de diseño; una línea de stock no tiene ninguna.</w:t>
            </w:r>
          </w:p>
        </w:tc>
      </w:tr>
      <w:tr w:rsidR="0016299F" w14:paraId="044F3139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5B0E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TELA – DETALLE_CONFECCION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02D4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Una tela puede usarse en muchos diseños; cada diseño lleva una sola tela.</w:t>
            </w:r>
          </w:p>
        </w:tc>
      </w:tr>
      <w:tr w:rsidR="0016299F" w14:paraId="18F4549E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FFA4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TIPO_ESTAMPADO – DETALLE_CONFECCION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2FA9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 estampado puede repetirse en muchos diseños; un diseño puede no llevar estampado.</w:t>
            </w:r>
          </w:p>
        </w:tc>
      </w:tr>
      <w:tr w:rsidR="0016299F" w14:paraId="55F0FDF7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EC5D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USUARIO – PEDIDO y PAGO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AA1E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 vendedor puede registrar muchos pedidos y pagos; cada uno indica quién lo registró.</w:t>
            </w:r>
          </w:p>
        </w:tc>
      </w:tr>
      <w:tr w:rsidR="0016299F" w14:paraId="54151B6E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C7FF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PRODUCTO_TALLA – MOVIMIENTO_STOCK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3E42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Una prenda en una talla acumula muchos movimientos de stock con el tiempo.</w:t>
            </w:r>
          </w:p>
        </w:tc>
      </w:tr>
    </w:tbl>
    <w:p w14:paraId="48CA204E" w14:textId="77777777" w:rsidR="0016299F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Los nombres en mayúsculas corresponden a las cajas de la Figura 1.</w:t>
      </w:r>
    </w:p>
    <w:p w14:paraId="0D4625E8" w14:textId="77777777" w:rsidR="0016299F" w:rsidRDefault="00000000">
      <w:pPr>
        <w:pStyle w:val="Ttulo1"/>
        <w:keepNext/>
      </w:pPr>
      <w:r>
        <w:t>Un ejemplo completo</w:t>
      </w:r>
    </w:p>
    <w:p w14:paraId="5728F964" w14:textId="77777777" w:rsidR="0016299F" w:rsidRDefault="00000000">
      <w:pPr>
        <w:keepNext/>
        <w:ind w:firstLine="720"/>
      </w:pPr>
      <w:r>
        <w:t>La Tabla 3 sigue un pedido ilustrativo de 35 polos a medida para mostrar cómo se reparte la información entre las tablas.</w:t>
      </w:r>
    </w:p>
    <w:p w14:paraId="59F44F70" w14:textId="77777777" w:rsidR="0016299F" w:rsidRDefault="00000000">
      <w:pPr>
        <w:keepNext/>
        <w:spacing w:line="240" w:lineRule="auto"/>
      </w:pPr>
      <w:r>
        <w:rPr>
          <w:b/>
          <w:bCs/>
        </w:rPr>
        <w:t>Tabla 3</w:t>
      </w:r>
    </w:p>
    <w:p w14:paraId="0C985AED" w14:textId="77777777" w:rsidR="0016299F" w:rsidRDefault="00000000">
      <w:pPr>
        <w:keepNext/>
        <w:spacing w:after="120" w:line="240" w:lineRule="auto"/>
      </w:pPr>
      <w:r>
        <w:rPr>
          <w:i/>
          <w:iCs/>
        </w:rPr>
        <w:t>Ejemplo de un pedido a medida repartido entre las tablas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6299F" w14:paraId="57B3EDD6" w14:textId="77777777">
        <w:trPr>
          <w:cantSplit/>
          <w:tblHeader/>
        </w:trPr>
        <w:tc>
          <w:tcPr>
            <w:tcW w:w="3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E467" w14:textId="77777777" w:rsidR="0016299F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60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2700" w14:textId="77777777" w:rsidR="0016299F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Qué se registra</w:t>
            </w:r>
          </w:p>
        </w:tc>
      </w:tr>
      <w:tr w:rsidR="0016299F" w14:paraId="4D2A1D8D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057B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CLIENTE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1840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Nombre y documento del cliente (se registran una sola vez, aunque vuelva a pedir).</w:t>
            </w:r>
          </w:p>
        </w:tc>
      </w:tr>
      <w:tr w:rsidR="0016299F" w14:paraId="3E26C1D3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7CF1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PEDIDO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17C5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Boleta 000604, modalidad confección, estado pendiente, total S/ 1,750.00.</w:t>
            </w:r>
          </w:p>
        </w:tc>
      </w:tr>
      <w:tr w:rsidR="0016299F" w14:paraId="18CB23B5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8CA6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DETALLE_PEDIDO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A3B4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Una línea: 35 polos a S/ 50.00 cada uno, subtotal S/ 1,750.00; sin producto de stock.</w:t>
            </w:r>
          </w:p>
        </w:tc>
      </w:tr>
      <w:tr w:rsidR="0016299F" w14:paraId="74647595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9F36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DETALLE_CONFECCION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A6E4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Prenda: polo; tela: algodón; talla: M; estampado: DTF; imagen del logo.</w:t>
            </w:r>
          </w:p>
        </w:tc>
      </w:tr>
      <w:tr w:rsidR="0016299F" w14:paraId="12DCB932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BF9A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PAGO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5522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Adelanto de S/ 500.00 pagado por Yape.</w:t>
            </w:r>
          </w:p>
        </w:tc>
      </w:tr>
      <w:tr w:rsidR="0016299F" w14:paraId="1E6DED33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5D59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Saldo (se calcula)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0349" w14:textId="77777777" w:rsidR="0016299F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S/ 1,750.00 − S/ 500.00 = S/ 1,250.00, hasta que se registre la cancelación.</w:t>
            </w:r>
          </w:p>
        </w:tc>
      </w:tr>
    </w:tbl>
    <w:p w14:paraId="7A3183A8" w14:textId="77777777" w:rsidR="0016299F" w:rsidRDefault="00000000">
      <w:pPr>
        <w:spacing w:before="80" w:after="240" w:line="240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Datos ilustrativos; el saldo no se almacena en ninguna tabla.</w:t>
      </w:r>
    </w:p>
    <w:p w14:paraId="26E1D5C1" w14:textId="77777777" w:rsidR="000E525A" w:rsidRDefault="000E525A" w:rsidP="000E525A">
      <w:pPr>
        <w:pStyle w:val="Ttulo1"/>
        <w:keepNext/>
      </w:pPr>
      <w:r>
        <w:lastRenderedPageBreak/>
        <w:t>Vista detallada del modelo</w:t>
      </w:r>
    </w:p>
    <w:p w14:paraId="40D21F16" w14:textId="77777777" w:rsidR="000E525A" w:rsidRDefault="000E525A" w:rsidP="000E525A">
      <w:pPr>
        <w:keepNext/>
        <w:spacing w:line="240" w:lineRule="auto"/>
      </w:pPr>
      <w:r>
        <w:rPr>
          <w:b/>
          <w:bCs/>
        </w:rPr>
        <w:t>Figura 1</w:t>
      </w:r>
    </w:p>
    <w:p w14:paraId="57FF5DE4" w14:textId="145B0E0B" w:rsidR="000E525A" w:rsidRDefault="000E525A" w:rsidP="00044E82">
      <w:pPr>
        <w:keepNext/>
        <w:spacing w:after="120" w:line="240" w:lineRule="auto"/>
      </w:pPr>
      <w:r w:rsidRPr="000D7086">
        <w:rPr>
          <w:i/>
          <w:iCs/>
        </w:rPr>
        <w:t xml:space="preserve">Vista detallada del modelo </w:t>
      </w:r>
      <w:r w:rsidR="00044E82">
        <w:rPr>
          <w:i/>
          <w:iCs/>
        </w:rPr>
        <w:t>ER</w:t>
      </w:r>
      <w:r w:rsidRPr="000D7086">
        <w:rPr>
          <w:noProof/>
        </w:rPr>
        <w:t>.</w:t>
      </w:r>
      <w:r>
        <w:rPr>
          <w:noProof/>
        </w:rPr>
        <w:drawing>
          <wp:inline distT="0" distB="0" distL="0" distR="0" wp14:anchorId="7985B912" wp14:editId="1A19F23C">
            <wp:extent cx="5539628" cy="3832860"/>
            <wp:effectExtent l="190500" t="190500" r="194945" b="186690"/>
            <wp:docPr id="1004500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83" cy="38479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C1D7EE" w14:textId="77777777" w:rsidR="000E525A" w:rsidRDefault="000E525A" w:rsidP="000E525A">
      <w:pPr>
        <w:spacing w:line="240" w:lineRule="auto"/>
      </w:pPr>
      <w:r w:rsidRPr="000D7086">
        <w:rPr>
          <w:i/>
          <w:iCs/>
          <w:sz w:val="22"/>
          <w:szCs w:val="22"/>
        </w:rPr>
        <w:t>Nota.</w:t>
      </w:r>
      <w:r w:rsidRPr="000D7086">
        <w:rPr>
          <w:sz w:val="22"/>
          <w:szCs w:val="22"/>
        </w:rPr>
        <w:t xml:space="preserve"> El diagrama muestra el modelo de datos relacional para la gestión de productos, tallas, pedidos, clientes, pagos y stock</w:t>
      </w:r>
      <w:r w:rsidRPr="000D7086">
        <w:t>.</w:t>
      </w:r>
    </w:p>
    <w:p w14:paraId="039FDCAF" w14:textId="77777777" w:rsidR="000E525A" w:rsidRDefault="000E525A">
      <w:pPr>
        <w:spacing w:before="80" w:after="240" w:line="240" w:lineRule="auto"/>
      </w:pPr>
    </w:p>
    <w:p w14:paraId="5894C4D5" w14:textId="77777777" w:rsidR="0016299F" w:rsidRDefault="00000000">
      <w:pPr>
        <w:pStyle w:val="Ttulo1"/>
        <w:keepNext/>
      </w:pPr>
      <w:r>
        <w:t>Conclusión</w:t>
      </w:r>
    </w:p>
    <w:p w14:paraId="5E500282" w14:textId="77777777" w:rsidR="0016299F" w:rsidRDefault="00000000">
      <w:pPr>
        <w:ind w:firstLine="720"/>
      </w:pPr>
      <w:r>
        <w:t>El modelo separa lo que se vende, lo que se pide y lo que se paga, y conecta cada parte mediante códigos. Gracias a ello, una misma base de datos atiende la venta de prendas en stock y la confección a medida, controla el inventario por talla, permite conocer en cualquier momento el saldo de cada cliente y deja constancia de quién registró cada operación.</w:t>
      </w:r>
    </w:p>
    <w:p w14:paraId="3E7D1AFB" w14:textId="77777777" w:rsidR="0016299F" w:rsidRDefault="00000000">
      <w:pPr>
        <w:pStyle w:val="Ttulo1"/>
        <w:keepNext/>
        <w:pageBreakBefore/>
      </w:pPr>
      <w:r>
        <w:lastRenderedPageBreak/>
        <w:t>Referencias</w:t>
      </w:r>
    </w:p>
    <w:p w14:paraId="6080DC48" w14:textId="77777777" w:rsidR="0016299F" w:rsidRDefault="00000000">
      <w:pPr>
        <w:ind w:left="720" w:hanging="720"/>
      </w:pPr>
      <w:r>
        <w:t xml:space="preserve">Chen, P. P.-S. (1976). The 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—Toward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data. </w:t>
      </w:r>
      <w:r>
        <w:rPr>
          <w:i/>
          <w:iCs/>
        </w:rPr>
        <w:t xml:space="preserve">ACM </w:t>
      </w:r>
      <w:proofErr w:type="spellStart"/>
      <w:r>
        <w:rPr>
          <w:i/>
          <w:iCs/>
        </w:rPr>
        <w:t>Transactions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Database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>, 1</w:t>
      </w:r>
      <w:r>
        <w:t>(1), 9–36. https://doi.org/10.1145/320434.320440</w:t>
      </w:r>
    </w:p>
    <w:p w14:paraId="4A8FB2D6" w14:textId="77777777" w:rsidR="0016299F" w:rsidRDefault="00000000">
      <w:pPr>
        <w:ind w:left="720" w:hanging="720"/>
      </w:pPr>
      <w:r>
        <w:t xml:space="preserve">Codd, E. F. (1970). 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data </w:t>
      </w:r>
      <w:proofErr w:type="spellStart"/>
      <w:r>
        <w:t>banks</w:t>
      </w:r>
      <w:proofErr w:type="spellEnd"/>
      <w:r>
        <w:t xml:space="preserve">. </w:t>
      </w:r>
      <w:proofErr w:type="spellStart"/>
      <w:r>
        <w:rPr>
          <w:i/>
          <w:iCs/>
        </w:rPr>
        <w:t>Communications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ACM, 13</w:t>
      </w:r>
      <w:r>
        <w:t>(6), 377–387. https://doi.org/10.1145/362384.362685</w:t>
      </w:r>
    </w:p>
    <w:p w14:paraId="05CC9F2D" w14:textId="77777777" w:rsidR="0016299F" w:rsidRDefault="00000000">
      <w:pPr>
        <w:ind w:left="720" w:hanging="720"/>
      </w:pPr>
      <w:r>
        <w:t xml:space="preserve">Elmasri, R., y </w:t>
      </w:r>
      <w:proofErr w:type="spellStart"/>
      <w:r>
        <w:t>Navathe</w:t>
      </w:r>
      <w:proofErr w:type="spellEnd"/>
      <w:r>
        <w:t xml:space="preserve">, S. B. (2016). </w:t>
      </w:r>
      <w:r>
        <w:rPr>
          <w:i/>
          <w:iCs/>
        </w:rPr>
        <w:t xml:space="preserve">Fundamentals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database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systems</w:t>
      </w:r>
      <w:proofErr w:type="spellEnd"/>
      <w:r>
        <w:t xml:space="preserve"> (7.ª ed.). Pearson.</w:t>
      </w:r>
    </w:p>
    <w:p w14:paraId="16033640" w14:textId="77777777" w:rsidR="0016299F" w:rsidRDefault="00000000">
      <w:pPr>
        <w:pStyle w:val="Ttulo1"/>
        <w:keepNext/>
        <w:pageBreakBefore/>
      </w:pPr>
      <w:r>
        <w:lastRenderedPageBreak/>
        <w:t>Apéndice</w:t>
      </w:r>
    </w:p>
    <w:p w14:paraId="1444F1DF" w14:textId="77777777" w:rsidR="0016299F" w:rsidRDefault="00000000">
      <w:pPr>
        <w:keepNext/>
        <w:spacing w:after="120"/>
        <w:jc w:val="center"/>
      </w:pPr>
      <w:r>
        <w:rPr>
          <w:b/>
          <w:bCs/>
        </w:rPr>
        <w:t>Diagrama entidad-relación completo</w:t>
      </w:r>
    </w:p>
    <w:p w14:paraId="33FFA977" w14:textId="77777777" w:rsidR="0016299F" w:rsidRDefault="00000000">
      <w:pPr>
        <w:keepNext/>
        <w:spacing w:line="240" w:lineRule="auto"/>
      </w:pPr>
      <w:r>
        <w:rPr>
          <w:b/>
          <w:bCs/>
        </w:rPr>
        <w:t>Figura A1</w:t>
      </w:r>
    </w:p>
    <w:p w14:paraId="72150F92" w14:textId="77777777" w:rsidR="0016299F" w:rsidRDefault="00000000">
      <w:pPr>
        <w:keepNext/>
        <w:spacing w:after="120" w:line="240" w:lineRule="auto"/>
      </w:pPr>
      <w:r>
        <w:rPr>
          <w:i/>
          <w:iCs/>
        </w:rPr>
        <w:t>Diagrama entidad-relación con todas las tablas y campos</w:t>
      </w:r>
    </w:p>
    <w:p w14:paraId="2D034FF9" w14:textId="77777777" w:rsidR="0016299F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A7F736E" wp14:editId="467C1741">
            <wp:extent cx="5715000" cy="5391150"/>
            <wp:effectExtent l="0" t="0" r="0" b="0"/>
            <wp:docPr id="1338588224" name="figA1.png" descr="Diagrama entidad-relación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C7B7" w14:textId="77777777" w:rsidR="0016299F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En cada tabla, los campos en negrita son la clave primaria (PK); FK indica una clave foránea que apunta a otra tabla; UQ indica un valor que no puede repetirse; los campos en cursiva son opcionales. Se recomienda ampliar la imagen en la versión digital.</w:t>
      </w:r>
    </w:p>
    <w:sectPr w:rsidR="0016299F">
      <w:head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C9DD5" w14:textId="77777777" w:rsidR="0081156C" w:rsidRDefault="0081156C">
      <w:pPr>
        <w:spacing w:line="240" w:lineRule="auto"/>
      </w:pPr>
      <w:r>
        <w:separator/>
      </w:r>
    </w:p>
  </w:endnote>
  <w:endnote w:type="continuationSeparator" w:id="0">
    <w:p w14:paraId="5AC9800F" w14:textId="77777777" w:rsidR="0081156C" w:rsidRDefault="008115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2FDC" w14:textId="77777777" w:rsidR="0081156C" w:rsidRDefault="0081156C">
      <w:pPr>
        <w:spacing w:line="240" w:lineRule="auto"/>
      </w:pPr>
      <w:r>
        <w:separator/>
      </w:r>
    </w:p>
  </w:footnote>
  <w:footnote w:type="continuationSeparator" w:id="0">
    <w:p w14:paraId="3623DFCD" w14:textId="77777777" w:rsidR="0081156C" w:rsidRDefault="008115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FAF25" w14:textId="77777777" w:rsidR="0016299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A191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A1765"/>
    <w:multiLevelType w:val="hybridMultilevel"/>
    <w:tmpl w:val="7B249684"/>
    <w:lvl w:ilvl="0" w:tplc="CF6CE7E6">
      <w:start w:val="1"/>
      <w:numFmt w:val="bullet"/>
      <w:lvlText w:val="●"/>
      <w:lvlJc w:val="left"/>
      <w:pPr>
        <w:ind w:left="720" w:hanging="360"/>
      </w:pPr>
    </w:lvl>
    <w:lvl w:ilvl="1" w:tplc="0060BED2">
      <w:start w:val="1"/>
      <w:numFmt w:val="bullet"/>
      <w:lvlText w:val="○"/>
      <w:lvlJc w:val="left"/>
      <w:pPr>
        <w:ind w:left="1440" w:hanging="360"/>
      </w:pPr>
    </w:lvl>
    <w:lvl w:ilvl="2" w:tplc="F380F626">
      <w:start w:val="1"/>
      <w:numFmt w:val="bullet"/>
      <w:lvlText w:val="■"/>
      <w:lvlJc w:val="left"/>
      <w:pPr>
        <w:ind w:left="2160" w:hanging="360"/>
      </w:pPr>
    </w:lvl>
    <w:lvl w:ilvl="3" w:tplc="BB0AE0A2">
      <w:start w:val="1"/>
      <w:numFmt w:val="bullet"/>
      <w:lvlText w:val="●"/>
      <w:lvlJc w:val="left"/>
      <w:pPr>
        <w:ind w:left="2880" w:hanging="360"/>
      </w:pPr>
    </w:lvl>
    <w:lvl w:ilvl="4" w:tplc="368C0028">
      <w:start w:val="1"/>
      <w:numFmt w:val="bullet"/>
      <w:lvlText w:val="○"/>
      <w:lvlJc w:val="left"/>
      <w:pPr>
        <w:ind w:left="3600" w:hanging="360"/>
      </w:pPr>
    </w:lvl>
    <w:lvl w:ilvl="5" w:tplc="67CA2930">
      <w:start w:val="1"/>
      <w:numFmt w:val="bullet"/>
      <w:lvlText w:val="■"/>
      <w:lvlJc w:val="left"/>
      <w:pPr>
        <w:ind w:left="4320" w:hanging="360"/>
      </w:pPr>
    </w:lvl>
    <w:lvl w:ilvl="6" w:tplc="931C3182">
      <w:start w:val="1"/>
      <w:numFmt w:val="bullet"/>
      <w:lvlText w:val="●"/>
      <w:lvlJc w:val="left"/>
      <w:pPr>
        <w:ind w:left="5040" w:hanging="360"/>
      </w:pPr>
    </w:lvl>
    <w:lvl w:ilvl="7" w:tplc="D3A645D6">
      <w:start w:val="1"/>
      <w:numFmt w:val="bullet"/>
      <w:lvlText w:val="●"/>
      <w:lvlJc w:val="left"/>
      <w:pPr>
        <w:ind w:left="5760" w:hanging="360"/>
      </w:pPr>
    </w:lvl>
    <w:lvl w:ilvl="8" w:tplc="71B215F0">
      <w:start w:val="1"/>
      <w:numFmt w:val="bullet"/>
      <w:lvlText w:val="●"/>
      <w:lvlJc w:val="left"/>
      <w:pPr>
        <w:ind w:left="6480" w:hanging="360"/>
      </w:pPr>
    </w:lvl>
  </w:abstractNum>
  <w:num w:numId="1" w16cid:durableId="367335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9F"/>
    <w:rsid w:val="00044E82"/>
    <w:rsid w:val="000D7086"/>
    <w:rsid w:val="000E525A"/>
    <w:rsid w:val="0016299F"/>
    <w:rsid w:val="002B23AD"/>
    <w:rsid w:val="00662F7A"/>
    <w:rsid w:val="0081156C"/>
    <w:rsid w:val="00A92A00"/>
    <w:rsid w:val="00CA191A"/>
    <w:rsid w:val="00CE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7299D"/>
  <w15:docId w15:val="{AEF174BC-38C6-4CB5-9EEE-879A35BE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086"/>
  </w:style>
  <w:style w:type="paragraph" w:styleId="Ttulo1">
    <w:name w:val="heading 1"/>
    <w:link w:val="Ttulo1Car"/>
    <w:uiPriority w:val="9"/>
    <w:qFormat/>
    <w:pPr>
      <w:jc w:val="center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E525A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1145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datos de la tienda de confección: explicación del diagrama entidad-relación</vt:lpstr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de la tienda de confección: explicación del diagrama entidad-relación</dc:title>
  <cp:lastModifiedBy>Rony Cc</cp:lastModifiedBy>
  <cp:revision>4</cp:revision>
  <dcterms:created xsi:type="dcterms:W3CDTF">2026-09-29T22:17:00Z</dcterms:created>
  <dcterms:modified xsi:type="dcterms:W3CDTF">2026-09-29T22:47:00Z</dcterms:modified>
</cp:coreProperties>
</file>