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 · DESIGN DOC</w:t>
      </w:r>
    </w:p>
    <w:p>
      <w:pPr>
        <w:pBdr>
          <w:bottom w:val="single" w:color="8A7A5C" w:sz="8" w:space="6"/>
        </w:pBdr>
        <w:bidi w:val="false"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 w:val="false"/>
        </w:rPr>
        <w:t xml:space="preserve">Automated Model Risk Auditor | Design Document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From architecture to code: which classes exist, how a command moves between them, which state it can be in, who runs in parallel and what is stored.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design document comes after the architecture. The architecture answered "which components exist and who talks to whom". Here we go one level down: each component becomes classes with fields and operations, and what passes between them is defined, so code can be written without guessing.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Depend on interfaces: model, judge, keys and external stop are interfaces, so each can be replaced and tested alone.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Independent judges: three different judges receive the same pair and do not see each other; agreement is measured, not assumed.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Dangerous tests never touch the world: every such test runs only inside the sealed environment.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boundary holds: the system detects and requests, and does not carry out a suspension itself.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2. Class diagram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box is a class: name on top, then fields (what it holds), then operations (what it can do). A box marked «interface» is a contract only: it fixes which operations must exist and whoever implements it decides how. A solid arrow means "uses", a dashed arrow means a message or request, and a diamond means "holds".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Class diagram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What each class does</w:t>
      </w:r>
    </w:p>
    <w:tbl>
      <w:tblPr>
        <w:bidiVisual w:val="false"/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9"/>
        <w:gridCol w:w="7319"/>
      </w:tblGrid>
      <w:tr>
        <w:trPr>
          <w:cantSplit/>
          <w:tblHeader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Class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SuiteManager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Manages the tests in frozen versions and hands each run a batch.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TestCase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Value object: one question, its category and the expected behavior.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DiffEngine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Sends each test in two framings and compares the answers.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ModePair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two answers to the same test, and the gap between them.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ITargetModel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the model under test. The model is outside the system.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AttackGenerator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Invents new attack tests within a fixed budget.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SandboxCoordinator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Runs dangerous tests in a sealed environment and deletes it afterwards.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IJudge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a judge. Rules and two models implement it.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JudgeOrchestra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Runs the judges in parallel and computes agreement.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HumanQueue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Queue of disputes for a person.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RiskEngine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Per-category score, hard threshold and comparison with the previous version.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ReportService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Builds a three-level report, a PDF and a signature.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IKeyProvider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the key vault.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DriftMonitor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Samples real use and detects drift.</w:t>
            </w:r>
          </w:p>
        </w:tc>
      </w:tr>
      <w:tr>
        <w:trPr>
          <w:cantSplit/>
          <w:tblHeader w:val="false"/>
        </w:trPr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IExternalStop</w:t>
            </w:r>
          </w:p>
        </w:tc>
        <w:tc>
          <w:tcPr>
            <w:tcW w:type="dxa" w:w="7319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Interface to an outside party the system does not control. The system only requests.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 State machines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state answers "where does this stand right now". Defining states and transitions in advance prevents undefined situations, such as a command that was published without being logged.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Lifecycle of a test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Transitions. Green is a normal end, red is a rejection, yellow is an intermediate state.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States of the post-release monitor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42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States and transitions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4. Sequence diagram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Who calls whom and in what order, top to bottom. A plain arrow is a call, a dashed arrow is a reply, and a red arrow is a blocking result.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The normal flow end to end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5. Threading model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thread is a "worker" running in parallel with others. When several threads touch the same state a lock is required, otherwise two may change it at once and leave it broken.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9144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Threads and what they share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6. Table design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What is stored long-term and how the tables are linked. PK is a primary key that identifies a row; FK is a reference to a row in another table.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9535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10" w:line="330"/>
        <w:jc w:val="center"/>
      </w:pPr>
      <w:r>
        <w:rPr>
          <w:rFonts w:ascii="Arial" w:cs="Arial" w:hAnsi="Arial"/>
          <w:i/>
          <w:iCs/>
          <w:color w:val="6B6454"/>
          <w:sz w:val="19"/>
          <w:szCs w:val="19"/>
          <w:rtl w:val="false"/>
        </w:rPr>
        <w:t xml:space="preserve">Tables and foreign keys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7. Implementation order by version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V1.0.0 Skeleton: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SuiteManager, DiffEngine, one judge, scoring and a simple report.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V2.0.0 Real judging: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IJudge with three implementations, JudgeOrchestra and HumanQueue.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V3.0.0 Sealed room: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AttackGenerator and SandboxCoordinator.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V4.0.0 Signed report: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ReportService, IKeyProvider and version comparison.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V5.0.0 Follow-up: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DriftMonitor and IExternalStop.</w:t>
      </w:r>
    </w:p>
    <w:sectPr>
      <w:footerReference w:type="default" r:id="rId7"/>
      <w:pgSz w:w="16838" w:h="11906" w:orient="landscape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a10ee45d493b7ce8eef7046a642b88af464c0e.png"/><Relationship Id="rId9" Type="http://schemas.openxmlformats.org/officeDocument/2006/relationships/image" Target="media/7d5f1b5c7fac5c1022637d32480f334f07cf180c.png"/><Relationship Id="rId10" Type="http://schemas.openxmlformats.org/officeDocument/2006/relationships/image" Target="media/b5ff4773dccc74ee7e0003814c982a2c7b86c217.png"/><Relationship Id="rId11" Type="http://schemas.openxmlformats.org/officeDocument/2006/relationships/image" Target="media/39da5c71bce73cd7e2c398107ae97b7ead8bc5a5.png"/><Relationship Id="rId12" Type="http://schemas.openxmlformats.org/officeDocument/2006/relationships/image" Target="media/66082d7a2d6b7c17d56e3650770b106fc542e172.png"/><Relationship Id="rId13" Type="http://schemas.openxmlformats.org/officeDocument/2006/relationships/image" Target="media/0106b7376646fbb7b2f10a5a52b76975337bb0f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Design Document</dc:title>
  <dc:creator>The Differential</dc:creator>
  <cp:lastModifiedBy>Un-named</cp:lastModifiedBy>
  <cp:revision>1</cp:revision>
  <dcterms:created xsi:type="dcterms:W3CDTF">2026-10-12T11:42:01.934Z</dcterms:created>
  <dcterms:modified xsi:type="dcterms:W3CDTF">2026-10-12T11:42:01.934Z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