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/>
      </w:pPr>
      <w:r>
        <w:rPr>
          <w:rFonts w:ascii="Arial" w:cs="Arial" w:hAnsi="Arial"/>
          <w:color w:val="8A7A5C"/>
          <w:spacing w:val="30"/>
          <w:sz w:val="18"/>
          <w:szCs w:val="18"/>
          <w:rtl w:val="false"/>
        </w:rPr>
        <w:t xml:space="preserve">THE DIFFERENTIAL · CASE 01</w:t>
      </w:r>
    </w:p>
    <w:p>
      <w:pPr>
        <w:pBdr>
          <w:bottom w:val="single" w:color="8A7A5C" w:sz="8" w:space="6"/>
        </w:pBdr>
        <w:bidi w:val="false"/>
        <w:spacing w:after="240"/>
      </w:pPr>
      <w:r>
        <w:rPr>
          <w:rFonts w:ascii="Arial" w:cs="Arial" w:hAnsi="Arial"/>
          <w:b/>
          <w:bCs/>
          <w:color w:val="1D3F3A"/>
          <w:sz w:val="40"/>
          <w:szCs w:val="40"/>
          <w:rtl w:val="false"/>
        </w:rPr>
        <w:t xml:space="preserve">Ideation Document: Automated Model Risk Auditor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What it does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An automated system that tests an AI model twice on every prompt — once when the model "knows" it is being tested, and once when the test is disguised as ordinary production traffic — and identifies behavioral gaps between the two. It targets directly the loophole the article describes in paragraph 6: the Hugging Face incident went uncaught because it happened during a declared "evaluation phase", and a model can behave well only when it knows it is being watched.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Motivation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The House bill (paragraph 8) requires "third-party evaluators", but does not specify how such an evaluation should withstand a model that recognizes it is being tested and adapts its behavior accordingly.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Target audience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MLOps and Trust &amp; Safety teams at AI companies that must demonstrate regulatory compliance (such as Anthropic, which already uses third-party evaluators according to paragraph 11), and regulators themselves as an independent testing body.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Similar solutions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Tools such as PyRIT (Microsoft) and Garak (NVIDIA) exist for scanning models for vulnerabilities, but they focus on "one-off attacks" rather than systematic differential comparison between tested mode and production mode; frameworks such as NeMo Guardrails focus on runtime enforcement, not pre-deployment evaluation.</w:t>
      </w:r>
    </w:p>
    <w:p>
      <w:pPr>
        <w:keepNext/>
        <w:bidi w:val="false"/>
        <w:spacing w:after="100" w:before="260"/>
      </w:pPr>
      <w:r>
        <w:rPr>
          <w:rFonts w:ascii="Arial" w:cs="Arial" w:hAnsi="Arial"/>
          <w:b/>
          <w:bCs/>
          <w:color w:val="B4452A"/>
          <w:sz w:val="28"/>
          <w:szCs w:val="28"/>
          <w:rtl w:val="false"/>
        </w:rPr>
        <w:t xml:space="preserve">Expected challenges</w:t>
      </w:r>
    </w:p>
    <w:p>
      <w:pPr>
        <w:bidi w:val="false"/>
        <w:spacing w:after="120" w:line="340"/>
      </w:pPr>
      <w:r>
        <w:rPr>
          <w:rFonts w:ascii="Arial" w:cs="Arial" w:hAnsi="Arial"/>
          <w:sz w:val="24"/>
          <w:szCs w:val="24"/>
          <w:rtl w:val="false"/>
        </w:rPr>
        <w:t xml:space="preserve">How we know the LLM judge itself is not "biased" or skewed; telling reasonable statistical noise apart from a genuine behavioral gap; the computational cost of running every test twice and with multiple judges.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Ideation Document: Automated Model Risk Auditor</dc:title>
  <dc:creator>The Differential</dc:creator>
  <cp:lastModifiedBy>Un-named</cp:lastModifiedBy>
  <cp:revision>1</cp:revision>
  <dcterms:created xsi:type="dcterms:W3CDTF">2026-10-06T11:49:36.102Z</dcterms:created>
  <dcterms:modified xsi:type="dcterms:W3CDTF">2026-10-06T11:49:36.102Z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