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Ideation Document: AI Incident Ledger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the project does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A central reporting platform (an immutable "ledger") to which AI companies report safety events (successful jailbreaks, actual harm, alignment failures) in real time, instead of a fragmented patchwork of different reporting laws in every state.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Motivation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The article shows how even California's law — considered groundbreaking — did not cover the Hugging Face case because it happened during an "evaluation phase" (paragraph 6). The goal: a uniform technical infrastructure that does not depend on the exact legal wording of any single state.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Target audience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State and federal regulators, technology journalists, AI safety researchers, and indirectly the general public through a public dashboard.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Core goals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Create a single "source of truth" for AI safety incidents, independent of local legal definitions.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Reduce regulatory response time.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Give a reputational incentive to "good" companies that report more.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Existing similar solutions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CVE (Common Vulnerabilities and Exposures) — a global, MITRE-based database for reporting software security vulnerabilities. It works well because it has a clear incentive: companies want a CVE to show they dealt with the problem. The problem: AI incidents lack the same incentive — admitting an AI failure hurts reputation more than admitting an ordinary bug.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HackerOne / Bug Bounty platforms — a financial-incentive mechanism for disclosing vulnerabilities. An interesting model (payment in exchange for transparency), but never tested on "alignment failures", which are a vaguer concept than a concrete security hole.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NIST AI Risk Management Framework — a voluntary American framework for managing AI risk. A management framework (a checklist), not an enforceable technical infrastructure.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EU AI Act — includes incident-reporting clauses for "high-risk AI" companies — at the level of law, not a cross-border technical infrastructure.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Expected challenges and obstacles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incentive problem (the most critical): unlike CVE, there is no win-win here — the company gains nothing directly from reporting on itself.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Defining an "incident": an enormous range between "the model answered something unpleasant" and "the model caused real harm" — without a clear boundary, reporting becomes arbitrary.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Verifying report credibility: how do we know a company is not reporting only minor events to "look transparent" while hiding serious ones?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Hidden legal burden: public reporting may expose the company to lawsuits — another negative incentive that worsens the incentive problem (1).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Why it fell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It fell at the peak of the ideation stage — not for lack of value, but because a real implementation requires the entire industry to adopt the protocol voluntarily or by legal compulsion, a decision outside the control of any single development team; so it is at its core a policy project, not an engineering product that can truly be demonstrated alone. The incentive problem (challenge 1) sealed its fate: unlike CVE, a company gains nothing directly from admitting its own safety failure. Its central technical idea — a public Merkle log with Signed Tree Heads — was not lost: it lives on inside the Model Kill-Switch Protocol as a far more focused "transparency log" feature (Certificate Transparency) that records only management commands on a single model — and inside the Coordinated Pause Escrow System as the public commitments log.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 Document: AI Incident Ledger</dc:title>
  <dc:creator>The Differential</dc:creator>
  <cp:lastModifiedBy>Un-named</cp:lastModifiedBy>
  <cp:revision>1</cp:revision>
  <dcterms:created xsi:type="dcterms:W3CDTF">2026-10-06T11:49:36.192Z</dcterms:created>
  <dcterms:modified xsi:type="dcterms:W3CDTF">2026-10-06T11:49:36.192Z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