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5F0C4" w14:textId="77777777" w:rsidR="00E65543" w:rsidRDefault="00000000" w:rsidP="005D3D40">
      <w:pPr>
        <w:spacing w:after="80"/>
      </w:pPr>
      <w:r>
        <w:rPr>
          <w:rFonts w:ascii="Arial" w:eastAsia="Arial" w:hAnsi="Arial" w:cs="Arial"/>
          <w:b/>
          <w:bCs/>
          <w:color w:val="2F6F68"/>
          <w:sz w:val="18"/>
          <w:szCs w:val="18"/>
        </w:rPr>
        <w:t>The Differential · Case 01 · מהכתבה לכיווני פתרון</w:t>
      </w:r>
    </w:p>
    <w:p w14:paraId="5E02619F" w14:textId="77777777" w:rsidR="00E65543" w:rsidRDefault="00000000" w:rsidP="005D3D40">
      <w:pPr>
        <w:pStyle w:val="Title"/>
        <w:pBdr>
          <w:bottom w:val="single" w:sz="12" w:space="6" w:color="1E2422"/>
        </w:pBdr>
        <w:bidi/>
        <w:spacing w:after="200"/>
      </w:pPr>
      <w:r>
        <w:rPr>
          <w:rFonts w:ascii="Arial" w:eastAsia="Arial" w:hAnsi="Arial" w:cs="Arial"/>
          <w:b/>
          <w:bCs/>
          <w:color w:val="1E2422"/>
          <w:sz w:val="40"/>
          <w:szCs w:val="40"/>
        </w:rPr>
        <w:t>הבעיות שזוהו</w:t>
      </w:r>
    </w:p>
    <w:p w14:paraId="1C680979" w14:textId="77777777" w:rsidR="00E65543" w:rsidRDefault="00000000" w:rsidP="005D3D40">
      <w:pPr>
        <w:spacing w:after="160"/>
      </w:pPr>
      <w:r>
        <w:rPr>
          <w:rFonts w:ascii="Arial" w:eastAsia="Arial" w:hAnsi="Arial" w:cs="Arial"/>
          <w:i/>
          <w:iCs/>
          <w:color w:val="1E2422"/>
          <w:sz w:val="22"/>
          <w:szCs w:val="22"/>
        </w:rPr>
        <w:t>בעיה מרכזית אחת, וארבע תת-בעיות — כל אחת נשלפת ישירות מפסקה בכתבה, וכל אחת הפכה לזרע של כיוון פתרון טכנולוגי אחר.</w:t>
      </w:r>
    </w:p>
    <w:p w14:paraId="5E403255" w14:textId="77777777" w:rsidR="00E65543" w:rsidRDefault="00000000" w:rsidP="005D3D40">
      <w:pPr>
        <w:pStyle w:val="Heading1"/>
        <w:bidi/>
        <w:spacing w:before="320" w:after="140"/>
      </w:pPr>
      <w:r>
        <w:rPr>
          <w:rFonts w:ascii="Arial" w:eastAsia="Arial" w:hAnsi="Arial" w:cs="Arial"/>
          <w:b/>
          <w:bCs/>
          <w:color w:val="2F6F68"/>
          <w:sz w:val="28"/>
          <w:szCs w:val="28"/>
        </w:rPr>
        <w:t>בעיה מרכזית</w:t>
      </w:r>
    </w:p>
    <w:p w14:paraId="5FD7DCBD" w14:textId="77777777" w:rsidR="00E65543" w:rsidRDefault="00000000" w:rsidP="005D3D40">
      <w:pPr>
        <w:spacing w:after="160"/>
      </w:pPr>
      <w:r>
        <w:rPr>
          <w:rFonts w:ascii="Arial" w:eastAsia="Arial" w:hAnsi="Arial" w:cs="Arial"/>
          <w:color w:val="1E2422"/>
          <w:sz w:val="22"/>
          <w:szCs w:val="22"/>
        </w:rPr>
        <w:t>"עד כמה קל לממשל לכבות מודל שיצא משליטה" (פסקה 7) — כל הצעות החוק הפדרליות, מהמתונה שבהן ועד הקשוחה ביותר, מתמודדות בעצם עם אותה שאלה: מי מחזיק בפועל על יכולת העצירה, ואיך אוכפים אותה בזמן אמת.</w:t>
      </w:r>
    </w:p>
    <w:p w14:paraId="773C3425" w14:textId="77777777" w:rsidR="00E65543" w:rsidRDefault="00000000" w:rsidP="005D3D40">
      <w:pPr>
        <w:pStyle w:val="Heading1"/>
        <w:bidi/>
        <w:spacing w:before="320" w:after="140"/>
      </w:pPr>
      <w:r>
        <w:rPr>
          <w:rFonts w:ascii="Arial" w:eastAsia="Arial" w:hAnsi="Arial" w:cs="Arial"/>
          <w:b/>
          <w:bCs/>
          <w:color w:val="2F6F68"/>
          <w:sz w:val="28"/>
          <w:szCs w:val="28"/>
        </w:rPr>
        <w:t>תת-בעיה: הערכת סיכון שאפשר לסמוך עליה</w:t>
      </w:r>
    </w:p>
    <w:p w14:paraId="5BA96873" w14:textId="77777777" w:rsidR="00E65543" w:rsidRDefault="00000000" w:rsidP="005D3D40">
      <w:pPr>
        <w:spacing w:after="160"/>
      </w:pPr>
      <w:r>
        <w:rPr>
          <w:rFonts w:ascii="Arial" w:eastAsia="Arial" w:hAnsi="Arial" w:cs="Arial"/>
          <w:color w:val="1E2422"/>
          <w:sz w:val="22"/>
          <w:szCs w:val="22"/>
        </w:rPr>
        <w:t>תקרית Hugging Face לא נתפסה כי קרתה ב"שלב הערכה" (פסקה 6) — מודל יכול להתנהג אחרת כשהוא "יודע" שבודקים אותו. ← Automated Model Risk Auditor</w:t>
      </w:r>
    </w:p>
    <w:p w14:paraId="0D18EB1B" w14:textId="77777777" w:rsidR="00E65543" w:rsidRDefault="00000000" w:rsidP="005D3D40">
      <w:pPr>
        <w:pStyle w:val="Heading1"/>
        <w:bidi/>
        <w:spacing w:before="320" w:after="140"/>
      </w:pPr>
      <w:r>
        <w:rPr>
          <w:rFonts w:ascii="Arial" w:eastAsia="Arial" w:hAnsi="Arial" w:cs="Arial"/>
          <w:b/>
          <w:bCs/>
          <w:color w:val="2F6F68"/>
          <w:sz w:val="28"/>
          <w:szCs w:val="28"/>
        </w:rPr>
        <w:t>תת-בעיה: תיאום בין מתחרים בלי חשיפה משפטית</w:t>
      </w:r>
    </w:p>
    <w:p w14:paraId="100030CB" w14:textId="77777777" w:rsidR="00E65543" w:rsidRDefault="00000000" w:rsidP="005D3D40">
      <w:pPr>
        <w:spacing w:after="160"/>
      </w:pPr>
      <w:r>
        <w:rPr>
          <w:rFonts w:ascii="Arial" w:eastAsia="Arial" w:hAnsi="Arial" w:cs="Arial"/>
          <w:color w:val="1E2422"/>
          <w:sz w:val="22"/>
          <w:szCs w:val="22"/>
        </w:rPr>
        <w:t>ואנס קורא לחברות לעצור באופן חד-צדדי, אבל זה דורש פטור אנטי-טראסט (פסקה 9) — מתחרים לא יכולים פשוט "לדבר ולהחליט יחד". ← Coordinated Pause Escrow System</w:t>
      </w:r>
    </w:p>
    <w:p w14:paraId="725CA83F" w14:textId="77777777" w:rsidR="00E65543" w:rsidRDefault="00000000" w:rsidP="005D3D40">
      <w:pPr>
        <w:pStyle w:val="Heading1"/>
        <w:bidi/>
        <w:spacing w:before="320" w:after="140"/>
      </w:pPr>
      <w:r>
        <w:rPr>
          <w:rFonts w:ascii="Arial" w:eastAsia="Arial" w:hAnsi="Arial" w:cs="Arial"/>
          <w:b/>
          <w:bCs/>
          <w:color w:val="2F6F68"/>
          <w:sz w:val="28"/>
          <w:szCs w:val="28"/>
        </w:rPr>
        <w:t>תת-בעיה: מנגנון אכיפה טכני בפועל</w:t>
      </w:r>
    </w:p>
    <w:p w14:paraId="67AF642F" w14:textId="77777777" w:rsidR="00E65543" w:rsidRDefault="00000000" w:rsidP="005D3D40">
      <w:pPr>
        <w:spacing w:after="160"/>
      </w:pPr>
      <w:r>
        <w:rPr>
          <w:rFonts w:ascii="Arial" w:eastAsia="Arial" w:hAnsi="Arial" w:cs="Arial"/>
          <w:color w:val="1E2422"/>
          <w:sz w:val="22"/>
          <w:szCs w:val="22"/>
        </w:rPr>
        <w:t>שלוש הצעות החוק הפדרליות (פסקה 8) מציעות שלוש רמות שונות של "מתג עצירה" — איסור גורף, השהיה מנהלית, חסימת שחרור בצו בית משפט — בלי אף אחת מהן לפרט *איך* זה קורה טכנית. ← Model Kill-Switch Protocol</w:t>
      </w:r>
    </w:p>
    <w:p w14:paraId="4EA33D1C" w14:textId="77777777" w:rsidR="00E65543" w:rsidRDefault="00000000" w:rsidP="005D3D40">
      <w:pPr>
        <w:pStyle w:val="Heading1"/>
        <w:bidi/>
        <w:spacing w:before="320" w:after="140"/>
      </w:pPr>
      <w:r>
        <w:rPr>
          <w:rFonts w:ascii="Arial" w:eastAsia="Arial" w:hAnsi="Arial" w:cs="Arial"/>
          <w:b/>
          <w:bCs/>
          <w:color w:val="2F6F68"/>
          <w:sz w:val="28"/>
          <w:szCs w:val="28"/>
        </w:rPr>
        <w:t>תת-בעיה: ניגודי עניינים במימון "פיקוח"</w:t>
      </w:r>
    </w:p>
    <w:p w14:paraId="676C336F" w14:textId="77777777" w:rsidR="00E65543" w:rsidRDefault="00000000" w:rsidP="005D3D40">
      <w:pPr>
        <w:spacing w:after="160"/>
      </w:pPr>
      <w:r>
        <w:rPr>
          <w:rFonts w:ascii="Arial" w:eastAsia="Arial" w:hAnsi="Arial" w:cs="Arial"/>
          <w:color w:val="1E2422"/>
          <w:sz w:val="22"/>
          <w:szCs w:val="22"/>
        </w:rPr>
        <w:t>אותו משקיע (רון קונוויי) מממן גם את הגוף שמרכך חוקי מדינות וגם את היוזמה שמבטיחה פיקוח "הגיוני" (פסקאות 5, 10) — נקודת מוצא לכיוון שנפסל כבר בלוח: Lobbying Transparency Tracker.</w:t>
      </w:r>
    </w:p>
    <w:sectPr w:rsidR="00E65543">
      <w:pgSz w:w="11906" w:h="16838"/>
      <w:pgMar w:top="1440" w:right="1440" w:bottom="1440" w:left="1440" w:header="708" w:footer="708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A3FBB"/>
    <w:multiLevelType w:val="hybridMultilevel"/>
    <w:tmpl w:val="4D64844E"/>
    <w:lvl w:ilvl="0" w:tplc="34203616">
      <w:start w:val="1"/>
      <w:numFmt w:val="bullet"/>
      <w:lvlText w:val="●"/>
      <w:lvlJc w:val="right"/>
      <w:pPr>
        <w:ind w:right="720" w:hanging="360"/>
      </w:pPr>
    </w:lvl>
    <w:lvl w:ilvl="1" w:tplc="638425A4">
      <w:start w:val="1"/>
      <w:numFmt w:val="bullet"/>
      <w:lvlText w:val="○"/>
      <w:lvlJc w:val="right"/>
      <w:pPr>
        <w:ind w:right="1440" w:hanging="360"/>
      </w:pPr>
    </w:lvl>
    <w:lvl w:ilvl="2" w:tplc="5BB0E0E8">
      <w:start w:val="1"/>
      <w:numFmt w:val="bullet"/>
      <w:lvlText w:val="■"/>
      <w:lvlJc w:val="right"/>
      <w:pPr>
        <w:ind w:right="2160" w:hanging="360"/>
      </w:pPr>
    </w:lvl>
    <w:lvl w:ilvl="3" w:tplc="A22C0D68">
      <w:start w:val="1"/>
      <w:numFmt w:val="bullet"/>
      <w:lvlText w:val="●"/>
      <w:lvlJc w:val="right"/>
      <w:pPr>
        <w:ind w:right="2880" w:hanging="360"/>
      </w:pPr>
    </w:lvl>
    <w:lvl w:ilvl="4" w:tplc="CAEAEAA2">
      <w:start w:val="1"/>
      <w:numFmt w:val="bullet"/>
      <w:lvlText w:val="○"/>
      <w:lvlJc w:val="right"/>
      <w:pPr>
        <w:ind w:right="3600" w:hanging="360"/>
      </w:pPr>
    </w:lvl>
    <w:lvl w:ilvl="5" w:tplc="DA60484A">
      <w:start w:val="1"/>
      <w:numFmt w:val="bullet"/>
      <w:lvlText w:val="■"/>
      <w:lvlJc w:val="right"/>
      <w:pPr>
        <w:ind w:right="4320" w:hanging="360"/>
      </w:pPr>
    </w:lvl>
    <w:lvl w:ilvl="6" w:tplc="B41037DC">
      <w:start w:val="1"/>
      <w:numFmt w:val="bullet"/>
      <w:lvlText w:val="●"/>
      <w:lvlJc w:val="right"/>
      <w:pPr>
        <w:ind w:right="5040" w:hanging="360"/>
      </w:pPr>
    </w:lvl>
    <w:lvl w:ilvl="7" w:tplc="5C467E14">
      <w:start w:val="1"/>
      <w:numFmt w:val="bullet"/>
      <w:lvlText w:val="●"/>
      <w:lvlJc w:val="right"/>
      <w:pPr>
        <w:ind w:right="5760" w:hanging="360"/>
      </w:pPr>
    </w:lvl>
    <w:lvl w:ilvl="8" w:tplc="31946C2A">
      <w:start w:val="1"/>
      <w:numFmt w:val="bullet"/>
      <w:lvlText w:val="●"/>
      <w:lvlJc w:val="right"/>
      <w:pPr>
        <w:ind w:right="6480" w:hanging="360"/>
      </w:pPr>
    </w:lvl>
  </w:abstractNum>
  <w:abstractNum w:abstractNumId="1" w15:restartNumberingAfterBreak="0">
    <w:nsid w:val="762655C2"/>
    <w:multiLevelType w:val="hybridMultilevel"/>
    <w:tmpl w:val="949CA310"/>
    <w:lvl w:ilvl="0" w:tplc="4C26A0BE">
      <w:start w:val="1"/>
      <w:numFmt w:val="bullet"/>
      <w:lvlText w:val="●"/>
      <w:lvlJc w:val="right"/>
      <w:pPr>
        <w:bidi/>
        <w:ind w:right="720" w:hanging="360"/>
        <w:jc w:val="right"/>
      </w:pPr>
    </w:lvl>
    <w:lvl w:ilvl="1" w:tplc="2CA064AC">
      <w:numFmt w:val="decimal"/>
      <w:lvlText w:val=""/>
      <w:lvlJc w:val="left"/>
    </w:lvl>
    <w:lvl w:ilvl="2" w:tplc="810052F8">
      <w:numFmt w:val="decimal"/>
      <w:lvlText w:val=""/>
      <w:lvlJc w:val="left"/>
    </w:lvl>
    <w:lvl w:ilvl="3" w:tplc="71C657D0">
      <w:numFmt w:val="decimal"/>
      <w:lvlText w:val=""/>
      <w:lvlJc w:val="left"/>
    </w:lvl>
    <w:lvl w:ilvl="4" w:tplc="57B2AEEC">
      <w:numFmt w:val="decimal"/>
      <w:lvlText w:val=""/>
      <w:lvlJc w:val="left"/>
    </w:lvl>
    <w:lvl w:ilvl="5" w:tplc="39CE1726">
      <w:numFmt w:val="decimal"/>
      <w:lvlText w:val=""/>
      <w:lvlJc w:val="left"/>
    </w:lvl>
    <w:lvl w:ilvl="6" w:tplc="88CC6260">
      <w:numFmt w:val="decimal"/>
      <w:lvlText w:val=""/>
      <w:lvlJc w:val="left"/>
    </w:lvl>
    <w:lvl w:ilvl="7" w:tplc="57D2730C">
      <w:numFmt w:val="decimal"/>
      <w:lvlText w:val=""/>
      <w:lvlJc w:val="left"/>
    </w:lvl>
    <w:lvl w:ilvl="8" w:tplc="3378D33E">
      <w:numFmt w:val="decimal"/>
      <w:lvlText w:val=""/>
      <w:lvlJc w:val="left"/>
    </w:lvl>
  </w:abstractNum>
  <w:num w:numId="1" w16cid:durableId="2100298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543"/>
    <w:rsid w:val="005D3D40"/>
    <w:rsid w:val="00DD4051"/>
    <w:rsid w:val="00E6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B2C21"/>
  <w15:docId w15:val="{B15897F9-5483-4626-AA75-2D93C959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1004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Rony Gralnic</cp:lastModifiedBy>
  <cp:revision>2</cp:revision>
  <dcterms:created xsi:type="dcterms:W3CDTF">2026-09-30T10:54:00Z</dcterms:created>
  <dcterms:modified xsi:type="dcterms:W3CDTF">2026-09-30T10:58:00Z</dcterms:modified>
</cp:coreProperties>
</file>