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right"/>
      </w:pPr>
      <w:r>
        <w:rPr>
          <w:rFonts w:ascii="Arial" w:cs="Arial" w:eastAsia="Arial" w:hAnsi="Arial"/>
          <w:b/>
          <w:bCs/>
          <w:color w:val="2F6F68"/>
          <w:sz w:val="18"/>
          <w:szCs w:val="18"/>
        </w:rPr>
        <w:t xml:space="preserve">The Differential · Case 01 · מסמך ייזום</w:t>
      </w:r>
    </w:p>
    <w:p>
      <w:pPr>
        <w:pStyle w:val="Title"/>
        <w:pBdr>
          <w:bottom w:val="single" w:color="1E2422" w:sz="12" w:space="6"/>
        </w:pBdr>
        <w:bidi/>
        <w:spacing w:after="200"/>
        <w:jc w:val="right"/>
      </w:pPr>
      <w:r>
        <w:rPr>
          <w:rFonts w:ascii="Arial" w:cs="Arial" w:eastAsia="Arial" w:hAnsi="Arial"/>
          <w:b/>
          <w:bCs/>
          <w:color w:val="1E2422"/>
          <w:sz w:val="40"/>
          <w:szCs w:val="40"/>
        </w:rPr>
        <w:t xml:space="preserve">Coordinated Pause Escrow System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סטטוס: נפל אחרי אפיון מלא (ראו מסמך אפיון).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מה זה עושה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מנגנון שמאפשר לחברות AI מתחרות "להצביע" באופן קריפטוגרפי-אנונימי על חשש משותף לגבי מודל מסוכן, ולהפעיל השהיה מתואמת רק אם מספיק חברות (סף M-מתוך-N) הצביעו — בלי שאף חברה תדע מי עוד הצביע, עד לרגע שהסף מושג. עונה ישירות על קריאתו של ג'יי.די. ואנס לחברות "לעצור באופן חד-צדדי" — רק בלי החשיפה המשפטית שקריאה חד-צדדית כזו יוצרת.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מוטיבציה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הכתבה מציינת במפורש שתיאום מרצון בין מתחרים ל"עצירת חירום" דורש פטור אנטי-טראסט — בלעדיו, אפילו כוונה טובה חושפת את המתאמים לתביעה. הרעיון: לבנות את הפרטיות והאנונימיות הזו לתוך הפרוטוקול עצמו, כך שאף חברה לא "מסגירה" את זהותה כמי שיזמה את החשד לפני שהסף אושר.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קהל יעד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קונסורציום של מעבדות AI מובילות (Anthropic, OpenAI, Google, וכו') שרוצות מנגנון תיאום-חירום בלי סיכון תחרותי/משפטי.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פתרונות דומים</w:t>
      </w:r>
    </w:p>
    <w:p>
      <w:pPr>
        <w:bidi/>
        <w:spacing w:after="160"/>
        <w:jc w:val="right"/>
      </w:pPr>
      <w:r>
        <w:rPr>
          <w:rFonts w:ascii="Arial" w:cs="Arial" w:eastAsia="Arial" w:hAnsi="Arial"/>
          <w:i w:val="false"/>
          <w:iCs w:val="false"/>
          <w:color w:val="1E2422"/>
          <w:sz w:val="22"/>
          <w:szCs w:val="22"/>
        </w:rPr>
        <w:t xml:space="preserve">Pedersen Commitments ו-Hash Time-Locked Contracts (HTLC) מוכרים היטב מעולם הקריפטו (ביטקוין, Lightning Network) לתרחישי Commit-Reveal, אך לא יושמו קודם על תיאום רגולטורי-תעשייתי; FROST (threshold Schnorr signatures) נפוץ בניהול ארנקים משותפים, לא בהחלטות בטיחות AI.</w:t>
      </w:r>
    </w:p>
    <w:p>
      <w:pPr>
        <w:pStyle w:val="Heading1"/>
        <w:bidi/>
        <w:spacing w:after="140" w:before="320"/>
        <w:jc w:val="right"/>
      </w:pPr>
      <w:r>
        <w:rPr>
          <w:rFonts w:ascii="Arial" w:cs="Arial" w:eastAsia="Arial" w:hAnsi="Arial"/>
          <w:b/>
          <w:bCs/>
          <w:color w:val="2F6F68"/>
          <w:sz w:val="28"/>
          <w:szCs w:val="28"/>
        </w:rPr>
        <w:t xml:space="preserve">אתגרים צפויים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הגדרת "מטרה מאושרת" להשהיה בלי לאפשר שימוש לרעה (השהיה מכוונת פוליטית/תחרותית).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התמודדות עם חברה שמצטרפת מאוחר מדי (אחרי שהסף כבר הושג).</w:t>
      </w:r>
    </w:p>
    <w:p>
      <w:pPr>
        <w:pStyle w:val="ListParagraph"/>
        <w:numPr>
          <w:ilvl w:val="0"/>
          <w:numId w:val="2"/>
        </w:numPr>
        <w:bidi/>
        <w:spacing w:after="90"/>
        <w:jc w:val="right"/>
      </w:pPr>
      <w:r>
        <w:rPr>
          <w:rFonts w:ascii="Arial" w:cs="Arial" w:eastAsia="Arial" w:hAnsi="Arial"/>
          <w:sz w:val="22"/>
          <w:szCs w:val="22"/>
        </w:rPr>
        <w:t xml:space="preserve">שמירה על אנונימיות לפני הסף מול צורך בזיהוי מלא אחריו לצורך אכיפה ואחריותיות.</w:t>
      </w:r>
    </w:p>
    <w:sectPr>
      <w:bidi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720" w:hanging="360"/>
      </w:pPr>
    </w:lvl>
    <w:lvl w:ilvl="1" w15:tentative="1">
      <w:start w:val="1"/>
      <w:numFmt w:val="bullet"/>
      <w:lvlText w:val="○"/>
      <w:lvlJc w:val="right"/>
      <w:pPr>
        <w:ind w:right="1440" w:hanging="360"/>
      </w:pPr>
    </w:lvl>
    <w:lvl w:ilvl="2" w15:tentative="1">
      <w:start w:val="1"/>
      <w:numFmt w:val="bullet"/>
      <w:lvlText w:val="■"/>
      <w:lvlJc w:val="right"/>
      <w:pPr>
        <w:ind w:right="2160" w:hanging="360"/>
      </w:pPr>
    </w:lvl>
    <w:lvl w:ilvl="3" w15:tentative="1">
      <w:start w:val="1"/>
      <w:numFmt w:val="bullet"/>
      <w:lvlText w:val="●"/>
      <w:lvlJc w:val="right"/>
      <w:pPr>
        <w:ind w:right="2880" w:hanging="360"/>
      </w:pPr>
    </w:lvl>
    <w:lvl w:ilvl="4" w15:tentative="1">
      <w:start w:val="1"/>
      <w:numFmt w:val="bullet"/>
      <w:lvlText w:val="○"/>
      <w:lvlJc w:val="right"/>
      <w:pPr>
        <w:ind w:right="3600" w:hanging="360"/>
      </w:pPr>
    </w:lvl>
    <w:lvl w:ilvl="5" w15:tentative="1">
      <w:start w:val="1"/>
      <w:numFmt w:val="bullet"/>
      <w:lvlText w:val="■"/>
      <w:lvlJc w:val="right"/>
      <w:pPr>
        <w:ind w:right="4320" w:hanging="360"/>
      </w:pPr>
    </w:lvl>
    <w:lvl w:ilvl="6" w15:tentative="1">
      <w:start w:val="1"/>
      <w:numFmt w:val="bullet"/>
      <w:lvlText w:val="●"/>
      <w:lvlJc w:val="right"/>
      <w:pPr>
        <w:ind w:right="5040" w:hanging="360"/>
      </w:pPr>
    </w:lvl>
    <w:lvl w:ilvl="7" w15:tentative="1">
      <w:start w:val="1"/>
      <w:numFmt w:val="bullet"/>
      <w:lvlText w:val="●"/>
      <w:lvlJc w:val="right"/>
      <w:pPr>
        <w:ind w:right="5760" w:hanging="360"/>
      </w:pPr>
    </w:lvl>
    <w:lvl w:ilvl="8" w15:tentative="1">
      <w:start w:val="1"/>
      <w:numFmt w:val="bullet"/>
      <w:lvlText w:val="●"/>
      <w:lvlJc w:val="right"/>
      <w:pPr>
        <w:ind w:righ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bidi/>
        <w:ind w:right="720" w:hanging="360"/>
        <w:jc w:val="right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2026-09-30T10:54:53.784Z</dcterms:created>
  <dcterms:modified xsi:type="dcterms:W3CDTF">2026-09-30T10:54:53.784Z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