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substring()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 xml:space="preserve">()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Time()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1B2E6AA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</w:t>
            </w:r>
            <w:r w:rsidR="004E0EB5">
              <w:rPr>
                <w:rFonts w:cstheme="minorHAnsi"/>
                <w:szCs w:val="22"/>
              </w:rPr>
              <w:t>J</w:t>
            </w:r>
            <w:r w:rsidRPr="00A00DCF">
              <w:rPr>
                <w:rFonts w:cstheme="minorHAnsi"/>
                <w:szCs w:val="22"/>
              </w:rPr>
              <w:t>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Default="007E2BB0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open()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window.launch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window.exec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A00DCF" w:rsidRDefault="00827F9F" w:rsidP="00827F9F">
            <w:pPr>
              <w:rPr>
                <w:rFonts w:cstheme="minorHAnsi"/>
                <w:szCs w:val="22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27F9F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0082">
              <w:rPr>
                <w:rFonts w:ascii="Candara" w:hAnsi="Candara"/>
              </w:rPr>
              <w:t>How do you locate the first position of “method” in a string (txt=”How much you would Actually use these methods depends 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txt.find</w:t>
            </w:r>
            <w:proofErr w:type="spell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txt.locate</w:t>
            </w:r>
            <w:proofErr w:type="spell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txt.countTo</w:t>
            </w:r>
            <w:proofErr w:type="spell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()+7);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r w:rsidRPr="00D10A72">
              <w:rPr>
                <w:rFonts w:ascii="Candara" w:hAnsi="Candara"/>
              </w:rPr>
              <w:t>()+7);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>In the followings which is/are the are arguments of the open()method?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80ED" w14:textId="77777777" w:rsidR="00FE63E5" w:rsidRDefault="00FE63E5" w:rsidP="00F07F26">
      <w:pPr>
        <w:spacing w:after="0" w:line="240" w:lineRule="auto"/>
      </w:pPr>
      <w:r>
        <w:separator/>
      </w:r>
    </w:p>
  </w:endnote>
  <w:endnote w:type="continuationSeparator" w:id="0">
    <w:p w14:paraId="2BB2724E" w14:textId="77777777" w:rsidR="00FE63E5" w:rsidRDefault="00FE63E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07EDF9A7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E0EB5">
      <w:rPr>
        <w:noProof/>
      </w:rPr>
      <w:t>Sunday, July 16,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CF21" w14:textId="77777777" w:rsidR="00FE63E5" w:rsidRDefault="00FE63E5" w:rsidP="00F07F26">
      <w:pPr>
        <w:spacing w:after="0" w:line="240" w:lineRule="auto"/>
      </w:pPr>
      <w:r>
        <w:separator/>
      </w:r>
    </w:p>
  </w:footnote>
  <w:footnote w:type="continuationSeparator" w:id="0">
    <w:p w14:paraId="6871E2D6" w14:textId="77777777" w:rsidR="00FE63E5" w:rsidRDefault="00FE63E5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746886">
    <w:abstractNumId w:val="12"/>
  </w:num>
  <w:num w:numId="2" w16cid:durableId="784615264">
    <w:abstractNumId w:val="1"/>
  </w:num>
  <w:num w:numId="3" w16cid:durableId="110975010">
    <w:abstractNumId w:val="6"/>
  </w:num>
  <w:num w:numId="4" w16cid:durableId="1987472099">
    <w:abstractNumId w:val="3"/>
  </w:num>
  <w:num w:numId="5" w16cid:durableId="1221550211">
    <w:abstractNumId w:val="5"/>
  </w:num>
  <w:num w:numId="6" w16cid:durableId="1862276309">
    <w:abstractNumId w:val="2"/>
  </w:num>
  <w:num w:numId="7" w16cid:durableId="1594430751">
    <w:abstractNumId w:val="11"/>
  </w:num>
  <w:num w:numId="8" w16cid:durableId="1049258151">
    <w:abstractNumId w:val="7"/>
  </w:num>
  <w:num w:numId="9" w16cid:durableId="685598431">
    <w:abstractNumId w:val="9"/>
  </w:num>
  <w:num w:numId="10" w16cid:durableId="2132089612">
    <w:abstractNumId w:val="0"/>
  </w:num>
  <w:num w:numId="11" w16cid:durableId="1738674691">
    <w:abstractNumId w:val="8"/>
  </w:num>
  <w:num w:numId="12" w16cid:durableId="79641781">
    <w:abstractNumId w:val="4"/>
  </w:num>
  <w:num w:numId="13" w16cid:durableId="84000343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0EB5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69</cp:revision>
  <cp:lastPrinted>2017-09-22T19:32:00Z</cp:lastPrinted>
  <dcterms:created xsi:type="dcterms:W3CDTF">2017-09-22T10:42:00Z</dcterms:created>
  <dcterms:modified xsi:type="dcterms:W3CDTF">2023-07-16T03:23:00Z</dcterms:modified>
</cp:coreProperties>
</file>