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/>
        <w:jc w:val="center"/>
      </w:pPr>
      <w:r>
        <w:rPr>
          <w:b/>
          <w:bCs/>
          <w:color w:val="000000"/>
          <w:sz w:val="38"/>
          <w:szCs w:val="38"/>
        </w:rPr>
        <w:t xml:space="preserve">Academic Scholarship Evaluation Matrix Engine</w:t>
      </w:r>
    </w:p>
    <w:p>
      <w:pPr>
        <w:spacing w:after="500"/>
        <w:jc w:val="center"/>
      </w:pPr>
      <w:r>
        <w:rPr>
          <w:i/>
          <w:iCs/>
          <w:color w:val="000000"/>
          <w:sz w:val="26"/>
          <w:szCs w:val="26"/>
        </w:rPr>
        <w:t xml:space="preserve">Automated Eligibility Decision Logic for Student Scholarships</w:t>
      </w:r>
    </w:p>
    <w:p>
      <w:pPr>
        <w:spacing w:after="700"/>
        <w:jc w:val="center"/>
      </w:pPr>
      <w:r>
        <w:rPr>
          <w:color w:val="000000"/>
          <w:sz w:val="24"/>
          <w:szCs w:val="24"/>
        </w:rPr>
        <w:t xml:space="preserve">A Technical Project Report</w:t>
      </w:r>
    </w:p>
    <w:p>
      <w:pPr>
        <w:spacing w:after="80"/>
        <w:jc w:val="center"/>
      </w:pPr>
      <w:r>
        <w:rPr>
          <w:b/>
          <w:bCs/>
          <w:color w:val="000000"/>
          <w:sz w:val="24"/>
          <w:szCs w:val="24"/>
        </w:rPr>
        <w:t xml:space="preserve">Submitted by: Parth Jani</w:t>
      </w:r>
    </w:p>
    <w:p>
      <w:pPr>
        <w:spacing w:after="80"/>
        <w:jc w:val="center"/>
      </w:pPr>
      <w:r>
        <w:rPr>
          <w:color w:val="000000"/>
          <w:sz w:val="24"/>
          <w:szCs w:val="24"/>
        </w:rPr>
        <w:t xml:space="preserve">PRN: 24070521241</w:t>
      </w:r>
    </w:p>
    <w:p>
      <w:pPr>
        <w:spacing w:after="80"/>
        <w:jc w:val="center"/>
      </w:pPr>
      <w:r>
        <w:rPr>
          <w:color w:val="000000"/>
          <w:sz w:val="24"/>
          <w:szCs w:val="24"/>
        </w:rPr>
        <w:t xml:space="preserve">Department of Computer Science &amp; Engineering</w:t>
      </w:r>
    </w:p>
    <w:p>
      <w:pPr>
        <w:spacing w:after="80"/>
        <w:jc w:val="center"/>
      </w:pPr>
      <w:r>
        <w:rPr>
          <w:color w:val="000000"/>
          <w:sz w:val="24"/>
          <w:szCs w:val="24"/>
        </w:rPr>
        <w:t xml:space="preserve">Symbiosis Institute of Technology, Nagpur</w:t>
      </w:r>
    </w:p>
    <w:p>
      <w:pPr>
        <w:spacing w:after="600"/>
        <w:jc w:val="center"/>
      </w:pPr>
      <w:r>
        <w:rPr>
          <w:color w:val="000000"/>
          <w:sz w:val="24"/>
          <w:szCs w:val="24"/>
        </w:rPr>
        <w:t xml:space="preserve">Academic Batch: 2024–2028</w:t>
      </w:r>
    </w:p>
    <w:p>
      <w:pPr>
        <w:pageBreakBefore/>
      </w:pPr>
    </w:p>
    <w:p>
      <w:pPr>
        <w:pBdr>
          <w:bottom w:val="single" w:color="000000" w:sz="6" w:space="4"/>
        </w:pBdr>
        <w:spacing w:after="200" w:before="320"/>
      </w:pPr>
      <w:r>
        <w:rPr>
          <w:b/>
          <w:bCs/>
          <w:color w:val="000000"/>
          <w:sz w:val="30"/>
          <w:szCs w:val="30"/>
        </w:rPr>
        <w:t xml:space="preserve">Table of Contents</w:t>
      </w:r>
    </w:p>
    <w:p>
      <w:pPr>
        <w:spacing w:after="80"/>
      </w:pPr>
      <w:r>
        <w:rPr>
          <w:color w:val="000000"/>
        </w:rPr>
        <w:t xml:space="preserve">1.  Executive Summary</w:t>
      </w:r>
    </w:p>
    <w:p>
      <w:pPr>
        <w:spacing w:after="80"/>
      </w:pPr>
      <w:r>
        <w:rPr>
          <w:color w:val="000000"/>
        </w:rPr>
        <w:t xml:space="preserve">2.  Project Overview</w:t>
      </w:r>
    </w:p>
    <w:p>
      <w:pPr>
        <w:spacing w:after="80"/>
      </w:pPr>
      <w:r>
        <w:rPr>
          <w:color w:val="000000"/>
        </w:rPr>
        <w:t xml:space="preserve">3.  Technical Architecture</w:t>
      </w:r>
    </w:p>
    <w:p>
      <w:pPr>
        <w:spacing w:after="80"/>
      </w:pPr>
      <w:r>
        <w:rPr>
          <w:color w:val="000000"/>
        </w:rPr>
        <w:t xml:space="preserve">4.  Application Interface (Screenshot)</w:t>
      </w:r>
    </w:p>
    <w:p>
      <w:pPr>
        <w:spacing w:after="80"/>
      </w:pPr>
      <w:r>
        <w:rPr>
          <w:color w:val="000000"/>
        </w:rPr>
        <w:t xml:space="preserve">5.  Decision Matrix Logic</w:t>
      </w:r>
    </w:p>
    <w:p>
      <w:pPr>
        <w:spacing w:after="80"/>
      </w:pPr>
      <w:r>
        <w:rPr>
          <w:color w:val="000000"/>
        </w:rPr>
        <w:t xml:space="preserve">6.  Code Walkthrough</w:t>
      </w:r>
    </w:p>
    <w:p>
      <w:pPr>
        <w:spacing w:after="80"/>
      </w:pPr>
      <w:r>
        <w:rPr>
          <w:color w:val="000000"/>
        </w:rPr>
        <w:t xml:space="preserve">7.  Development Best Practices</w:t>
      </w:r>
    </w:p>
    <w:p>
      <w:pPr>
        <w:spacing w:after="80"/>
      </w:pPr>
      <w:r>
        <w:rPr>
          <w:color w:val="000000"/>
        </w:rPr>
        <w:t xml:space="preserve">8.  Potential Enhancements</w:t>
      </w:r>
    </w:p>
    <w:p>
      <w:pPr>
        <w:spacing w:after="80"/>
      </w:pPr>
      <w:r>
        <w:rPr>
          <w:color w:val="000000"/>
        </w:rPr>
        <w:t xml:space="preserve">9.  Conclusion</w:t>
      </w:r>
    </w:p>
    <w:p>
      <w:pPr>
        <w:pageBreakBefore/>
      </w:pPr>
    </w:p>
    <w:p>
      <w:pPr>
        <w:pBdr>
          <w:bottom w:val="single" w:color="000000" w:sz="6" w:space="4"/>
        </w:pBdr>
        <w:spacing w:after="200" w:before="320"/>
      </w:pPr>
      <w:r>
        <w:rPr>
          <w:b/>
          <w:bCs/>
          <w:color w:val="000000"/>
          <w:sz w:val="30"/>
          <w:szCs w:val="30"/>
        </w:rPr>
        <w:t xml:space="preserve">1. Executive Summary</w:t>
      </w:r>
    </w:p>
    <w:p>
      <w:pPr>
        <w:spacing w:after="200"/>
      </w:pPr>
      <w:r>
        <w:rPr>
          <w:color w:val="000000"/>
        </w:rPr>
        <w:t xml:space="preserve">This report provides a comprehensive technical overview of the Academic Scholarship Evaluation Matrix Engine, a client-side decision-logic web application built using HTML5, CSS3, and JavaScript. The application accepts a student's academic score, annual family income, demographic category, and special quota status, then applies a tiered set of conditional business rules to instantly determine the student's scholarship eligibility, financial benefit, and support package.</w:t>
      </w:r>
    </w:p>
    <w:p>
      <w:pPr>
        <w:spacing w:after="200"/>
      </w:pPr>
      <w:r>
        <w:rPr>
          <w:color w:val="000000"/>
        </w:rPr>
        <w:t xml:space="preserve">The system demonstrates practical application of layered conditional logic, form validation, and dynamic, state-driven DOM rendering, simulating a real institutional scholarship disbursement workflow.</w:t>
      </w:r>
    </w:p>
    <w:p>
      <w:pPr>
        <w:pBdr>
          <w:bottom w:val="single" w:color="000000" w:sz="6" w:space="4"/>
        </w:pBdr>
        <w:spacing w:after="200" w:before="320"/>
      </w:pPr>
      <w:r>
        <w:rPr>
          <w:b/>
          <w:bCs/>
          <w:color w:val="000000"/>
          <w:sz w:val="30"/>
          <w:szCs w:val="30"/>
        </w:rPr>
        <w:t xml:space="preserve">2. Project Overview</w:t>
      </w:r>
    </w:p>
    <w:p>
      <w:pPr>
        <w:spacing w:after="150" w:before="220"/>
      </w:pPr>
      <w:r>
        <w:rPr>
          <w:b/>
          <w:bCs/>
          <w:color w:val="000000"/>
          <w:sz w:val="24"/>
          <w:szCs w:val="24"/>
        </w:rPr>
        <w:t xml:space="preserve">2.1 Objective</w:t>
      </w:r>
    </w:p>
    <w:p>
      <w:pPr>
        <w:spacing w:after="200"/>
      </w:pPr>
      <w:r>
        <w:rPr>
          <w:color w:val="000000"/>
        </w:rPr>
        <w:t xml:space="preserve">To design and implement a client-side decision-logic web application using HTML5, CSS3, and JavaScript conditional structures that parses academic scores, annual family income thresholds, and demographic parameters to determine a student's scholarship eligibility matrix state instantly.</w:t>
      </w:r>
    </w:p>
    <w:p>
      <w:pPr>
        <w:spacing w:after="150" w:before="220"/>
      </w:pPr>
      <w:r>
        <w:rPr>
          <w:b/>
          <w:bCs/>
          <w:color w:val="000000"/>
          <w:sz w:val="24"/>
          <w:szCs w:val="24"/>
        </w:rPr>
        <w:t xml:space="preserve">2.2 Key Features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Input Criteria Form: fields for CGPA, Annual Family Income, Category/Demographic Group, and Special Quota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Validation Engine: enforces a valid numeric CGPA between 0.00 and 10.00, and a non-negative income value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Four-Tier Decision Matrix: Full Waiver, Merit-Cum-Means Waiver, Academic Grant, and Ineligible outcomes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Colour-Coded Result Card: visually distinguishes Approved, Partial, and Rejected outcomes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Evaluated Parameter Summary: redisplays the submitted CGPA, income, and category for confirmation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Modular IIFE architecture (ScholarshipEngine module) separating validation, decision logic, and rendering</w:t>
      </w:r>
    </w:p>
    <w:p>
      <w:pPr>
        <w:spacing w:after="200"/>
      </w:pPr>
    </w:p>
    <w:p>
      <w:pPr>
        <w:pBdr>
          <w:bottom w:val="single" w:color="000000" w:sz="6" w:space="4"/>
        </w:pBdr>
        <w:spacing w:after="200" w:before="320"/>
      </w:pPr>
      <w:r>
        <w:rPr>
          <w:b/>
          <w:bCs/>
          <w:color w:val="000000"/>
          <w:sz w:val="30"/>
          <w:szCs w:val="30"/>
        </w:rPr>
        <w:t xml:space="preserve">3. Technical Architecture</w:t>
      </w:r>
    </w:p>
    <w:p>
      <w:pPr>
        <w:spacing w:after="200"/>
      </w:pPr>
      <w:r>
        <w:rPr>
          <w:color w:val="000000"/>
        </w:rPr>
        <w:t xml:space="preserve">The application follows a standard three-tier front-end structure, separating content (HTML), presentation (CSS), and behaviour (JavaScript).</w:t>
      </w:r>
    </w:p>
    <w:p>
      <w:pPr>
        <w:spacing w:after="150" w:before="220"/>
      </w:pPr>
      <w:r>
        <w:rPr>
          <w:b/>
          <w:bCs/>
          <w:color w:val="000000"/>
          <w:sz w:val="24"/>
          <w:szCs w:val="24"/>
        </w:rPr>
        <w:t xml:space="preserve">3.1 File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shd w:fill="D9D9D9" w:val="clear"/>
          </w:tcPr>
          <w:p>
            <w:r>
              <w:rPr>
                <w:b/>
                <w:bCs/>
                <w:color w:val="000000"/>
              </w:rPr>
              <w:t xml:space="preserve">File</w:t>
            </w:r>
          </w:p>
        </w:tc>
        <w:tc>
          <w:tcPr>
            <w:shd w:fill="D9D9D9" w:val="clear"/>
          </w:tcPr>
          <w:p>
            <w:r>
              <w:rPr>
                <w:b/>
                <w:bCs/>
                <w:color w:val="000000"/>
              </w:rPr>
              <w:t xml:space="preserve">Purpose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ScholorshipEligibility.html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Defines the semantic page structure — PRN badge, application criteria form, and eligibility result panel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styles.css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Defines the visual design — layout grid, form styling, and colour-coded result states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script.js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Implements the evaluation logic — input validation, tiered decision rules, and result rendering</w:t>
            </w:r>
          </w:p>
        </w:tc>
      </w:tr>
    </w:tbl>
    <w:p>
      <w:pPr>
        <w:spacing w:after="300"/>
      </w:pPr>
    </w:p>
    <w:p>
      <w:pPr>
        <w:spacing w:after="150" w:before="220"/>
      </w:pPr>
      <w:r>
        <w:rPr>
          <w:b/>
          <w:bCs/>
          <w:color w:val="000000"/>
          <w:sz w:val="24"/>
          <w:szCs w:val="24"/>
        </w:rPr>
        <w:t xml:space="preserve">3.2 HTML Structure Overview</w:t>
      </w:r>
    </w:p>
    <w:p>
      <w:pPr>
        <w:spacing w:after="200"/>
      </w:pPr>
      <w:r>
        <w:rPr>
          <w:color w:val="000000"/>
        </w:rPr>
        <w:t xml:space="preserve">The HTML document (ScholorshipEligibility.html) is organised into three primary sections: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PRN Identification Badge — displays the student's Permanent Registration Number at the top of the page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Scholarship Application Criteria — a form collecting CGPA, annual family income, category, and special quota, each with associated error message elements where applicable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Eligibility Matrix Result — a placeholder panel that is dynamically populated with a colour-coded outcome card once the form is evaluated</w:t>
      </w:r>
    </w:p>
    <w:p>
      <w:pPr>
        <w:spacing w:after="200"/>
      </w:pPr>
    </w:p>
    <w:p>
      <w:pPr>
        <w:spacing w:after="150" w:before="220"/>
      </w:pPr>
      <w:r>
        <w:rPr>
          <w:b/>
          <w:bCs/>
          <w:color w:val="000000"/>
          <w:sz w:val="24"/>
          <w:szCs w:val="24"/>
        </w:rPr>
        <w:t xml:space="preserve">3.3 CSS Design Overview</w:t>
      </w:r>
    </w:p>
    <w:p>
      <w:pPr>
        <w:spacing w:after="200"/>
      </w:pPr>
      <w:r>
        <w:rPr>
          <w:color w:val="000000"/>
        </w:rPr>
        <w:t xml:space="preserve">The stylesheet (styles.css) defines a set of reusable CSS custom properties for consistent theming, and three result-state modifier classes: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00"/>
      </w:tblGrid>
      <w:tr>
        <w:tc>
          <w:tcPr>
            <w:shd w:fill="D9D9D9" w:val="clear"/>
          </w:tcPr>
          <w:p>
            <w:r>
              <w:rPr>
                <w:b/>
                <w:bCs/>
                <w:color w:val="000000"/>
              </w:rPr>
              <w:t xml:space="preserve">Variable / Class</w:t>
            </w:r>
          </w:p>
        </w:tc>
        <w:tc>
          <w:tcPr>
            <w:shd w:fill="D9D9D9" w:val="clear"/>
          </w:tcPr>
          <w:p>
            <w:r>
              <w:rPr>
                <w:b/>
                <w:bCs/>
                <w:color w:val="000000"/>
              </w:rPr>
              <w:t xml:space="preserve">Value</w:t>
            </w:r>
          </w:p>
        </w:tc>
        <w:tc>
          <w:tcPr>
            <w:shd w:fill="D9D9D9" w:val="clear"/>
          </w:tcPr>
          <w:p>
            <w:r>
              <w:rPr>
                <w:b/>
                <w:bCs/>
                <w:color w:val="000000"/>
              </w:rPr>
              <w:t xml:space="preserve">Purpose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--primary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#1e3a8a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Headers, PRN badge, submit button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--success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#16a34a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Border/background for .approved result cards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--warning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#d97706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Border/background for .partial result cards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--error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#ef4444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Border/background for .rejected result cards, error text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color w:val="000000"/>
        </w:rPr>
        <w:t xml:space="preserve">The .matrix-card class uses a coloured left border (border-left) combined with a matching tinted background to give an immediate, at-a-glance visual signal of the evaluation outcome, without relying on colour alone — the status is also stated in text as “Approved”, “Partial Waiver”, or “Ineligible”.</w:t>
      </w:r>
    </w:p>
    <w:p>
      <w:pPr>
        <w:spacing w:after="150" w:before="220"/>
      </w:pPr>
      <w:r>
        <w:rPr>
          <w:b/>
          <w:bCs/>
          <w:color w:val="000000"/>
          <w:sz w:val="24"/>
          <w:szCs w:val="24"/>
        </w:rPr>
        <w:t xml:space="preserve">3.4 JavaScript Architecture Overview</w:t>
      </w:r>
    </w:p>
    <w:p>
      <w:pPr>
        <w:spacing w:after="200"/>
      </w:pPr>
      <w:r>
        <w:rPr>
          <w:color w:val="000000"/>
        </w:rPr>
        <w:t xml:space="preserve">The application logic (script.js) is encapsulated inside an Immediately Invoked Function Expression (IIFE), exposed globally as the ScholarshipEngine module. The module cleanly separates three concerns: validateInputs() for form validation, evaluateCriteria() for the decision matrix, and renderResult() for DOM output, each of which is discussed in the sections that follow.</w:t>
      </w:r>
    </w:p>
    <w:p>
      <w:pPr>
        <w:pageBreakBefore/>
      </w:pPr>
    </w:p>
    <w:p>
      <w:pPr>
        <w:pBdr>
          <w:bottom w:val="single" w:color="000000" w:sz="6" w:space="4"/>
        </w:pBdr>
        <w:spacing w:after="200" w:before="320"/>
      </w:pPr>
      <w:r>
        <w:rPr>
          <w:b/>
          <w:bCs/>
          <w:color w:val="000000"/>
          <w:sz w:val="30"/>
          <w:szCs w:val="30"/>
        </w:rPr>
        <w:t xml:space="preserve">4. Application Interface</w:t>
      </w:r>
    </w:p>
    <w:p>
      <w:pPr>
        <w:spacing w:after="200"/>
      </w:pPr>
      <w:r>
        <w:rPr>
          <w:color w:val="000000"/>
        </w:rPr>
        <w:t xml:space="preserve">The figure below shows the rendered application after a student has submitted their application criteria. The left panel contains the Scholarship Application Criteria form; the right panel displays the dynamically generated Eligibility Matrix Result.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100"/>
        <w:jc w:val="center"/>
      </w:pPr>
      <w:r>
        <w:drawing>
          <wp:inline distT="0" distB="0" distL="0" distR="0">
            <wp:extent cx="4572000" cy="417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000000"/>
          <w:sz w:val="20"/>
          <w:szCs w:val="20"/>
        </w:rPr>
        <w:t xml:space="preserve">Figure 1: Scholarship Evaluation Matrix Engine — evaluated ineligible outcome</w:t>
      </w:r>
    </w:p>
    <w:p>
      <w:pPr>
        <w:spacing w:after="200"/>
      </w:pPr>
      <w:r>
        <w:rPr>
          <w:color w:val="000000"/>
        </w:rPr>
        <w:t xml:space="preserve">As shown above, the applicant entered a CGPA of 6.76, an annual family income of ₹5,00,000, category “OBC”, and special quota “Person with Disability (PwD)”. Since the CGPA of 6.76 falls below the minimum threshold of 7.5 required by every eligibility tier — including the PwD-linked Full Waiver rule, which additionally requires a CGPA of at least 8.5 — the engine returns an “Ineligible” outcome titled “Criteria Not Met”, with a 0% waiver and no stipend. The result card is rendered with a red left border and tinted background, and the submitted parameters are echoed back below the outcome for the applicant's confirmation.</w:t>
      </w:r>
    </w:p>
    <w:p>
      <w:pPr>
        <w:pageBreakBefore/>
      </w:pPr>
    </w:p>
    <w:p>
      <w:pPr>
        <w:pBdr>
          <w:bottom w:val="single" w:color="000000" w:sz="6" w:space="4"/>
        </w:pBdr>
        <w:spacing w:after="200" w:before="320"/>
      </w:pPr>
      <w:r>
        <w:rPr>
          <w:b/>
          <w:bCs/>
          <w:color w:val="000000"/>
          <w:sz w:val="30"/>
          <w:szCs w:val="30"/>
        </w:rPr>
        <w:t xml:space="preserve">5. Decision Matrix Logic</w:t>
      </w:r>
    </w:p>
    <w:p>
      <w:pPr>
        <w:spacing w:after="200"/>
      </w:pPr>
      <w:r>
        <w:rPr>
          <w:color w:val="000000"/>
        </w:rPr>
        <w:t xml:space="preserve">The evaluateCriteria() function applies four priority tiers in strict descending order. The first matching tier determines the outcome; lower tiers are not evaluated once a higher tier matches.</w:t>
      </w:r>
    </w:p>
    <w:p>
      <w:pPr>
        <w:spacing w:after="150" w:before="220"/>
      </w:pPr>
      <w:r>
        <w:rPr>
          <w:b/>
          <w:bCs/>
          <w:color w:val="000000"/>
          <w:sz w:val="24"/>
          <w:szCs w:val="24"/>
        </w:rPr>
        <w:t xml:space="preserve">5.1 Tier 1 — 100% Full Merit Scholarship</w:t>
      </w:r>
    </w:p>
    <w:p>
      <w:pPr>
        <w:spacing w:after="200"/>
      </w:pPr>
      <w:r>
        <w:rPr>
          <w:color w:val="000000"/>
        </w:rPr>
        <w:t xml:space="preserve">Awarded to a student who satisfies any one of the following conditions: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CGPA ≥ 9.0 AND Annual Income ≤ ₹3,00,000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CGPA ≥ 8.5 AND Special Quota = Person with Disability (PwD)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CGPA ≥ 8.5 AND Category = SC/ST AND Annual Income ≤ ₹5,00,000</w:t>
      </w:r>
    </w:p>
    <w:p>
      <w:pPr>
        <w:spacing w:after="200"/>
      </w:pPr>
      <w:r>
        <w:rPr>
          <w:color w:val="000000"/>
        </w:rPr>
        <w:t xml:space="preserve">Benefit: 100% tuition fee waiver plus a ₹5,000 per month allowance.</w:t>
      </w:r>
    </w:p>
    <w:p>
      <w:pPr>
        <w:spacing w:after="150" w:before="220"/>
      </w:pPr>
      <w:r>
        <w:rPr>
          <w:b/>
          <w:bCs/>
          <w:color w:val="000000"/>
          <w:sz w:val="24"/>
          <w:szCs w:val="24"/>
        </w:rPr>
        <w:t xml:space="preserve">5.2 Tier 2 — 50% Merit-Cum-Means Scholarship</w:t>
      </w:r>
    </w:p>
    <w:p>
      <w:pPr>
        <w:spacing w:after="200"/>
      </w:pPr>
      <w:r>
        <w:rPr>
          <w:color w:val="000000"/>
        </w:rPr>
        <w:t xml:space="preserve">Awarded to a student who satisfies any one of the following conditions: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CGPA ≥ 8.0 AND Annual Income ≤ ₹6,00,000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CGPA ≥ 7.5 AND Category is OBC or Single Girl Child AND Annual Income ≤ ₹4,00,000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Special Quota = Sports AND CGPA ≥ 7.5</w:t>
      </w:r>
    </w:p>
    <w:p>
      <w:pPr>
        <w:spacing w:after="200"/>
      </w:pPr>
      <w:r>
        <w:rPr>
          <w:color w:val="000000"/>
        </w:rPr>
        <w:t xml:space="preserve">Benefit: 50% tuition fee waiver plus standard library access.</w:t>
      </w:r>
    </w:p>
    <w:p>
      <w:pPr>
        <w:spacing w:after="150" w:before="220"/>
      </w:pPr>
      <w:r>
        <w:rPr>
          <w:b/>
          <w:bCs/>
          <w:color w:val="000000"/>
          <w:sz w:val="24"/>
          <w:szCs w:val="24"/>
        </w:rPr>
        <w:t xml:space="preserve">5.3 Tier 3 — 25% Institutional Academic Grant</w:t>
      </w:r>
    </w:p>
    <w:p>
      <w:pPr>
        <w:spacing w:after="200"/>
      </w:pPr>
      <w:r>
        <w:rPr>
          <w:color w:val="000000"/>
        </w:rPr>
        <w:t xml:space="preserve">Awarded when CGPA ≥ 7.5 AND Annual Income ≤ ₹8,00,000, and neither of the two higher tiers has already matched.</w:t>
      </w:r>
    </w:p>
    <w:p>
      <w:pPr>
        <w:spacing w:after="200"/>
      </w:pPr>
      <w:r>
        <w:rPr>
          <w:color w:val="000000"/>
        </w:rPr>
        <w:t xml:space="preserve">Benefit: 25% tuition fee waiver; no additional stipend.</w:t>
      </w:r>
    </w:p>
    <w:p>
      <w:pPr>
        <w:spacing w:after="150" w:before="220"/>
      </w:pPr>
      <w:r>
        <w:rPr>
          <w:b/>
          <w:bCs/>
          <w:color w:val="000000"/>
          <w:sz w:val="24"/>
          <w:szCs w:val="24"/>
        </w:rPr>
        <w:t xml:space="preserve">5.4 Tier 4 — Ineligible</w:t>
      </w:r>
    </w:p>
    <w:p>
      <w:pPr>
        <w:spacing w:after="200"/>
      </w:pPr>
      <w:r>
        <w:rPr>
          <w:color w:val="000000"/>
        </w:rPr>
        <w:t xml:space="preserve">Applied automatically whenever none of the above conditions are satisfied. The result state is “Ineligible”, titled “Criteria Not Met”, with a 0% waiver and no stipend.</w:t>
      </w:r>
    </w:p>
    <w:p>
      <w:pPr>
        <w:pageBreakBefore/>
      </w:pPr>
    </w:p>
    <w:p>
      <w:pPr>
        <w:pBdr>
          <w:bottom w:val="single" w:color="000000" w:sz="6" w:space="4"/>
        </w:pBdr>
        <w:spacing w:after="200" w:before="320"/>
      </w:pPr>
      <w:r>
        <w:rPr>
          <w:b/>
          <w:bCs/>
          <w:color w:val="000000"/>
          <w:sz w:val="30"/>
          <w:szCs w:val="30"/>
        </w:rPr>
        <w:t xml:space="preserve">6. Code Walkthrough</w:t>
      </w:r>
    </w:p>
    <w:p>
      <w:pPr>
        <w:spacing w:after="150" w:before="220"/>
      </w:pPr>
      <w:r>
        <w:rPr>
          <w:b/>
          <w:bCs/>
          <w:color w:val="000000"/>
          <w:sz w:val="24"/>
          <w:szCs w:val="24"/>
        </w:rPr>
        <w:t xml:space="preserve">6.1 Input Validation</w:t>
      </w:r>
    </w:p>
    <w:p>
      <w:pPr>
        <w:spacing w:after="200"/>
      </w:pPr>
      <w:r>
        <w:rPr>
          <w:color w:val="000000"/>
        </w:rPr>
        <w:t xml:space="preserve">The validateInputs() function checks both the CGPA and income fields before the decision engine is invoked, and toggles the corresponding error messages:</w:t>
      </w:r>
    </w:p>
    <w:p>
      <w:pPr>
        <w:pBdr>
          <w:top w:val="single" w:color="999999" w:sz="4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const validateInputs = (cgpa, income) =&gt; {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let isValid = true;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if (isNaN(cgpa) || cgpa &lt; 0 || cgpa &gt; 10) {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DOM.cgpaErr.style.display = 'block';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isValid = false;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} else {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DOM.cgpaErr.style.display = 'none';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if (isNaN(income) || income &lt; 0) {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DOM.incomeErr.style.display = 'block';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isValid = false;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} else {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DOM.incomeErr.style.display = 'none';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return isValid;</w:t>
      </w:r>
    </w:p>
    <w:p>
      <w:pPr>
        <w:pBdr>
          <w:top w:val="none" w:color="FFFFFF" w:sz="0"/>
          <w:bottom w:val="single" w:color="999999" w:sz="4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};</w:t>
      </w:r>
    </w:p>
    <w:p>
      <w:pPr>
        <w:spacing w:after="300"/>
      </w:pPr>
    </w:p>
    <w:p>
      <w:pPr>
        <w:spacing w:after="150" w:before="220"/>
      </w:pPr>
      <w:r>
        <w:rPr>
          <w:b/>
          <w:bCs/>
          <w:color w:val="000000"/>
          <w:sz w:val="24"/>
          <w:szCs w:val="24"/>
        </w:rPr>
        <w:t xml:space="preserve">6.2 Tiered Decision Engine</w:t>
      </w:r>
    </w:p>
    <w:p>
      <w:pPr>
        <w:spacing w:after="200"/>
      </w:pPr>
      <w:r>
        <w:rPr>
          <w:color w:val="000000"/>
        </w:rPr>
        <w:t xml:space="preserve">The evaluateCriteria() function implements the four-tier matrix as a sequence of early returns, guaranteeing that only the highest applicable tier is ever reported:</w:t>
      </w:r>
    </w:p>
    <w:p>
      <w:pPr>
        <w:pBdr>
          <w:top w:val="single" w:color="999999" w:sz="4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const evaluateCriteria = (cgpa, income, category, quota) =&gt; {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// Priority Tier 1: 100% Full Fee Waiver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if ((cgpa &gt;= 9.0 &amp;&amp; income &lt;= 300000) ||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(cgpa &gt;= 8.5 &amp;&amp; quota === 'Pwd') ||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(cgpa &gt;= 8.5 &amp;&amp; category === 'SC/ST' &amp;&amp; income &lt;= 500000)) {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return {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    status: 'Approved',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    title: 'Presidential Full Merit Scholarship',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    waiver: '100% Tuition Fee Waiver',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    stipend: '₹5,000 / Month Allowance',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    cssClass: 'approved'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};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// Priority Tier 2: 50% Merit-Cum-Means Waiver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if ((cgpa &gt;= 8.0 &amp;&amp; income &lt;= 600000) ||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(cgpa &gt;= 7.5 &amp;&amp; (category === 'OBC' ||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    category === 'Single Girl Child') &amp;&amp; income &lt;= 400000) ||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(quota === 'Sports' &amp;&amp; cgpa &gt;= 7.5)) {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return {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    status: 'Approved',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    title: 'Merit-Cum-Means Scholarship',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    waiver: '50% Tuition Fee Waiver',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    stipend: 'Standard Library Access',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    cssClass: 'approved'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};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// Priority Tier 3: 25% Academic Assistance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if (cgpa &gt;= 7.5 &amp;&amp; income &lt;= 800000) {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return {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    status: 'Partial Waiver',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    title: 'Institutional Academic Grant',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    waiver: '25% Tuition Fee Waiver',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    stipend: 'None',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    cssClass: 'partial'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};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// Tier 4: Ineligible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return {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status: 'Ineligible',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title: 'Criteria Not Met',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waiver: '0% Waiver',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stipend: 'None',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cssClass: 'rejected'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};</w:t>
      </w:r>
    </w:p>
    <w:p>
      <w:pPr>
        <w:pBdr>
          <w:top w:val="none" w:color="FFFFFF" w:sz="0"/>
          <w:bottom w:val="single" w:color="999999" w:sz="4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};</w:t>
      </w:r>
    </w:p>
    <w:p>
      <w:pPr>
        <w:spacing w:after="300"/>
      </w:pPr>
    </w:p>
    <w:p>
      <w:pPr>
        <w:spacing w:after="150" w:before="220"/>
      </w:pPr>
      <w:r>
        <w:rPr>
          <w:b/>
          <w:bCs/>
          <w:color w:val="000000"/>
          <w:sz w:val="24"/>
          <w:szCs w:val="24"/>
        </w:rPr>
        <w:t xml:space="preserve">6.3 Result Rendering</w:t>
      </w:r>
    </w:p>
    <w:p>
      <w:pPr>
        <w:spacing w:after="200"/>
      </w:pPr>
      <w:r>
        <w:rPr>
          <w:color w:val="000000"/>
        </w:rPr>
        <w:t xml:space="preserve">The renderResult() function injects a template literal into the output panel, applying the result's cssClass to drive the colour-coded border and background:</w:t>
      </w:r>
    </w:p>
    <w:p>
      <w:pPr>
        <w:pBdr>
          <w:top w:val="single" w:color="999999" w:sz="4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const renderResult = (result, cgpa, income, category) =&gt; {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DOM.outputBox.innerHTML = `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&lt;div class="matrix-card ${result.cssClass}"&gt;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    &lt;div class="result-title"&gt;${result.title}&lt;/div&gt;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    &lt;div class="result-row"&gt;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        &lt;span&gt;Status State:&lt;/span&gt; &lt;span&gt;${result.status}&lt;/span&gt;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    &lt;/div&gt;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    &lt;div class="result-row"&gt;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        &lt;span&gt;Financial Benefit:&lt;/span&gt; &lt;span&gt;${result.waiver}&lt;/span&gt;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    &lt;/div&gt;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    &lt;div class="result-row"&gt;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        &lt;span&gt;Evaluated CGPA:&lt;/span&gt;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        &lt;span&gt;${cgpa.toFixed(2)} / 10&lt;/span&gt;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    &lt;/div&gt;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&lt;/div&gt;</w:t>
      </w:r>
    </w:p>
    <w:p>
      <w:pPr>
        <w:pBdr>
          <w:top w:val="none" w:color="FFFFFF" w:sz="0"/>
          <w:bottom w:val="none" w:color="FFFFFF" w:sz="0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`;</w:t>
      </w:r>
    </w:p>
    <w:p>
      <w:pPr>
        <w:pBdr>
          <w:top w:val="none" w:color="FFFFFF" w:sz="0"/>
          <w:bottom w:val="single" w:color="999999" w:sz="4"/>
          <w:left w:val="single" w:color="999999" w:sz="4"/>
          <w:right w:val="single" w:color="999999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};</w:t>
      </w:r>
    </w:p>
    <w:p>
      <w:pPr>
        <w:pageBreakBefore/>
      </w:pPr>
    </w:p>
    <w:p>
      <w:pPr>
        <w:pBdr>
          <w:bottom w:val="single" w:color="000000" w:sz="6" w:space="4"/>
        </w:pBdr>
        <w:spacing w:after="200" w:before="320"/>
      </w:pPr>
      <w:r>
        <w:rPr>
          <w:b/>
          <w:bCs/>
          <w:color w:val="000000"/>
          <w:sz w:val="30"/>
          <w:szCs w:val="30"/>
        </w:rPr>
        <w:t xml:space="preserve">7. Development Best Practices Demonstrated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Modular architecture — the IIFE pattern (ScholarshipEngine) prevents global namespace pollution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Separation of concerns — validation, decision logic, and rendering are implemented as three distinct functions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Early-return priority matching — guarantees exactly one, highest-priority outcome is ever produced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Defensive validation — isNaN() and range checks guard against invalid CGPA or income input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Accessible status communication — outcome is conveyed through both colour and explicit text labels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Localised number formatting — toLocaleString('en-IN') displays income using Indian numbering conventions</w:t>
      </w:r>
    </w:p>
    <w:p>
      <w:pPr>
        <w:spacing w:after="300"/>
      </w:pPr>
    </w:p>
    <w:p>
      <w:pPr>
        <w:pBdr>
          <w:bottom w:val="single" w:color="000000" w:sz="6" w:space="4"/>
        </w:pBdr>
        <w:spacing w:after="200" w:before="320"/>
      </w:pPr>
      <w:r>
        <w:rPr>
          <w:b/>
          <w:bCs/>
          <w:color w:val="000000"/>
          <w:sz w:val="30"/>
          <w:szCs w:val="30"/>
        </w:rPr>
        <w:t xml:space="preserve">8. Potential Enhancements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Backend integration to persist applications and evaluation outcomes in a database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Document upload support for income certificates and category proof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An administrator review workflow for borderline or disputed cases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Configurable threshold values loaded from a server-side policy file rather than hard-coded constants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Audit logging of every evaluation for institutional compliance and appeals</w:t>
      </w:r>
    </w:p>
    <w:p>
      <w:pPr>
        <w:spacing w:after="300"/>
      </w:pPr>
    </w:p>
    <w:p>
      <w:pPr>
        <w:pBdr>
          <w:bottom w:val="single" w:color="000000" w:sz="6" w:space="4"/>
        </w:pBdr>
        <w:spacing w:after="200" w:before="320"/>
      </w:pPr>
      <w:r>
        <w:rPr>
          <w:b/>
          <w:bCs/>
          <w:color w:val="000000"/>
          <w:sz w:val="30"/>
          <w:szCs w:val="30"/>
        </w:rPr>
        <w:t xml:space="preserve">9. Conclusion</w:t>
      </w:r>
    </w:p>
    <w:p>
      <w:pPr>
        <w:spacing w:after="200"/>
      </w:pPr>
      <w:r>
        <w:rPr>
          <w:color w:val="000000"/>
        </w:rPr>
        <w:t xml:space="preserve">The Academic Scholarship Evaluation Matrix Engine demonstrates a clear, rule-based approach to automating a real institutional decision process. Through its layered conditional logic, defensive input validation, and colour-coded, state-driven result rendering, the application accurately reflects a multi-tier scholarship policy and provides a solid foundation for extension into a fully server-backed scholarship management system.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00000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08443b11b374f4e27e333e5be882d8c4d41652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2026-08-07T05:05:44.901Z</dcterms:created>
  <dcterms:modified xsi:type="dcterms:W3CDTF">2026-08-07T05:05:44.924Z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