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VA/PT CTF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Load your arsenals to find the bugs and flaws in different levels of the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We’re here to help you kickstart and gear up with the list of some useful tools of trade.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Kali Linux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IBM AppScan / Acunetix Vuln. Scanner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Burp Suite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Strings / PEiD / file / binwalk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Sqlite3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OWASP Top 10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You shall be answering questions in subjective manner, so be descriptive and add as many resources (images, PoC, diagrams, report, etc) as and when required to support your findings. We would like to know the steps you followed and challenges you faced, if 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Feel free to use your creativity while finding the vulnerabilities.</w:t>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Fonts w:ascii="Verdana" w:cs="Verdana" w:eastAsia="Verdana" w:hAnsi="Verdana"/>
        <w:color w:val="cccccc"/>
        <w:sz w:val="20"/>
        <w:szCs w:val="20"/>
        <w:rtl w:val="0"/>
      </w:rPr>
      <w:t xml:space="preserve">HackForward &gt;</w:t>
      <w:tab/>
      <w:tab/>
      <w:tab/>
      <w:tab/>
      <w:tab/>
      <w:t xml:space="preserve">    </w:t>
      <w:tab/>
      <w:tab/>
      <w:t xml:space="preserve">accenture // hackerearth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