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Recruitment Portal Defect Resolution Report</w:t>
      </w:r>
    </w:p>
    <w:p>
      <w:r>
        <w:rPr>
          <w:b/>
          <w:color w:val="4285F4"/>
          <w:sz w:val="26"/>
        </w:rPr>
        <w:t>GDG Recruitment Portal 2026</w:t>
      </w:r>
    </w:p>
    <w:p>
      <w:pPr>
        <w:spacing w:after="320"/>
      </w:pPr>
      <w:r>
        <w:t>Prepared 5 September 2026</w:t>
      </w:r>
    </w:p>
    <w:p>
      <w:r>
        <w:rPr>
          <w:b/>
          <w:color w:val="0F9D58"/>
        </w:rPr>
        <w:t xml:space="preserve">Current result  </w:t>
      </w:r>
      <w:r>
        <w:t>The portal now has a responsive coded interface, real Firestore connectivity, guarded administrative data, atomic application storage, and a selection-driven email queue. The optimized Next.js production build completes successfully.</w:t>
      </w:r>
    </w:p>
    <w:p>
      <w:pPr>
        <w:pStyle w:val="Heading1"/>
      </w:pPr>
      <w:r>
        <w:t>Resolved defects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2088"/>
            <w:shd w:fill="1F4E78"/>
            <w:vAlign w:val="center"/>
            <w:tcMar>
              <w:top w:w="120" w:type="dxa"/>
              <w:start w:w="140" w:type="dxa"/>
              <w:bottom w:w="120" w:type="dxa"/>
              <w:end w:w="140" w:type="dxa"/>
            </w:tcMar>
          </w:tcPr>
          <w:p>
            <w:pPr>
              <w:jc w:val="left"/>
            </w:pPr>
            <w:r>
              <w:rPr>
                <w:b/>
                <w:color w:val="FFFFFF"/>
                <w:sz w:val="18"/>
              </w:rPr>
              <w:t>Area</w:t>
            </w:r>
          </w:p>
        </w:tc>
        <w:tc>
          <w:tcPr>
            <w:tcW w:type="dxa" w:w="3240"/>
            <w:shd w:fill="1F4E78"/>
            <w:vAlign w:val="center"/>
            <w:tcMar>
              <w:top w:w="120" w:type="dxa"/>
              <w:start w:w="140" w:type="dxa"/>
              <w:bottom w:w="120" w:type="dxa"/>
              <w:end w:w="140" w:type="dxa"/>
            </w:tcMar>
          </w:tcPr>
          <w:p>
            <w:pPr>
              <w:jc w:val="left"/>
            </w:pPr>
            <w:r>
              <w:rPr>
                <w:b/>
                <w:color w:val="FFFFFF"/>
                <w:sz w:val="18"/>
              </w:rPr>
              <w:t>Defect found</w:t>
            </w:r>
          </w:p>
        </w:tc>
        <w:tc>
          <w:tcPr>
            <w:tcW w:type="dxa" w:w="3240"/>
            <w:shd w:fill="1F4E78"/>
            <w:vAlign w:val="center"/>
            <w:tcMar>
              <w:top w:w="120" w:type="dxa"/>
              <w:start w:w="140" w:type="dxa"/>
              <w:bottom w:w="120" w:type="dxa"/>
              <w:end w:w="140" w:type="dxa"/>
            </w:tcMar>
          </w:tcPr>
          <w:p>
            <w:pPr>
              <w:jc w:val="left"/>
            </w:pPr>
            <w:r>
              <w:rPr>
                <w:b/>
                <w:color w:val="FFFFFF"/>
                <w:sz w:val="18"/>
              </w:rPr>
              <w:t>Resolution completed</w:t>
            </w:r>
          </w:p>
        </w:tc>
      </w:tr>
      <w:tr>
        <w:tc>
          <w:tcPr>
            <w:tcW w:type="dxa" w:w="2088"/>
            <w:vAlign w:val="center"/>
            <w:tcMar>
              <w:top w:w="120" w:type="dxa"/>
              <w:start w:w="140" w:type="dxa"/>
              <w:bottom w:w="120" w:type="dxa"/>
              <w:end w:w="140" w:type="dxa"/>
            </w:tcMar>
          </w:tcPr>
          <w:p>
            <w:pPr>
              <w:spacing w:after="0"/>
            </w:pPr>
            <w:r>
              <w:rPr>
                <w:sz w:val="17"/>
              </w:rPr>
              <w:t>Interface</w:t>
            </w:r>
          </w:p>
        </w:tc>
        <w:tc>
          <w:tcPr>
            <w:tcW w:type="dxa" w:w="3240"/>
            <w:vAlign w:val="center"/>
            <w:tcMar>
              <w:top w:w="120" w:type="dxa"/>
              <w:start w:w="140" w:type="dxa"/>
              <w:bottom w:w="120" w:type="dxa"/>
              <w:end w:w="140" w:type="dxa"/>
            </w:tcMar>
          </w:tcPr>
          <w:p>
            <w:pPr>
              <w:spacing w:after="0"/>
            </w:pPr>
            <w:r>
              <w:rPr>
                <w:sz w:val="17"/>
              </w:rPr>
              <w:t>Pages rendered as plain text on a white background.</w:t>
            </w:r>
          </w:p>
        </w:tc>
        <w:tc>
          <w:tcPr>
            <w:tcW w:type="dxa" w:w="3240"/>
            <w:vAlign w:val="center"/>
            <w:tcMar>
              <w:top w:w="120" w:type="dxa"/>
              <w:start w:w="140" w:type="dxa"/>
              <w:bottom w:w="120" w:type="dxa"/>
              <w:end w:w="140" w:type="dxa"/>
            </w:tcMar>
          </w:tcPr>
          <w:p>
            <w:pPr>
              <w:spacing w:after="0"/>
            </w:pPr>
            <w:r>
              <w:rPr>
                <w:sz w:val="17"/>
              </w:rPr>
              <w:t>Rebuilt the interface with responsive layouts, complete styling, dark and light themes, polished cards, form sections, navigation, and motion.</w:t>
            </w:r>
          </w:p>
        </w:tc>
      </w:tr>
      <w:tr>
        <w:tc>
          <w:tcPr>
            <w:tcW w:type="dxa" w:w="2088"/>
            <w:vAlign w:val="center"/>
            <w:tcMar>
              <w:top w:w="120" w:type="dxa"/>
              <w:start w:w="140" w:type="dxa"/>
              <w:bottom w:w="120" w:type="dxa"/>
              <w:end w:w="140" w:type="dxa"/>
            </w:tcMar>
            <w:shd w:fill="F2F6FA"/>
          </w:tcPr>
          <w:p>
            <w:pPr>
              <w:spacing w:after="0"/>
            </w:pPr>
            <w:r>
              <w:rPr>
                <w:sz w:val="17"/>
              </w:rPr>
              <w:t>Visual assets</w:t>
            </w:r>
          </w:p>
        </w:tc>
        <w:tc>
          <w:tcPr>
            <w:tcW w:type="dxa" w:w="3240"/>
            <w:vAlign w:val="center"/>
            <w:tcMar>
              <w:top w:w="120" w:type="dxa"/>
              <w:start w:w="140" w:type="dxa"/>
              <w:bottom w:w="120" w:type="dxa"/>
              <w:end w:w="140" w:type="dxa"/>
            </w:tcMar>
            <w:shd w:fill="F2F6FA"/>
          </w:tcPr>
          <w:p>
            <w:pPr>
              <w:spacing w:after="0"/>
            </w:pPr>
            <w:r>
              <w:rPr>
                <w:sz w:val="17"/>
              </w:rPr>
              <w:t>Brand logo and recruitment artwork were missing or poorly represented.</w:t>
            </w:r>
          </w:p>
        </w:tc>
        <w:tc>
          <w:tcPr>
            <w:tcW w:type="dxa" w:w="3240"/>
            <w:vAlign w:val="center"/>
            <w:tcMar>
              <w:top w:w="120" w:type="dxa"/>
              <w:start w:w="140" w:type="dxa"/>
              <w:bottom w:w="120" w:type="dxa"/>
              <w:end w:w="140" w:type="dxa"/>
            </w:tcMar>
            <w:shd w:fill="F2F6FA"/>
          </w:tcPr>
          <w:p>
            <w:pPr>
              <w:spacing w:after="0"/>
            </w:pPr>
            <w:r>
              <w:rPr>
                <w:sz w:val="17"/>
              </w:rPr>
              <w:t>Added the supplied logo and illustration assets while keeping headings, controls, cards, and content as coded elements.</w:t>
            </w:r>
          </w:p>
        </w:tc>
      </w:tr>
      <w:tr>
        <w:tc>
          <w:tcPr>
            <w:tcW w:type="dxa" w:w="2088"/>
            <w:vAlign w:val="center"/>
            <w:tcMar>
              <w:top w:w="120" w:type="dxa"/>
              <w:start w:w="140" w:type="dxa"/>
              <w:bottom w:w="120" w:type="dxa"/>
              <w:end w:w="140" w:type="dxa"/>
            </w:tcMar>
          </w:tcPr>
          <w:p>
            <w:pPr>
              <w:spacing w:after="0"/>
            </w:pPr>
            <w:r>
              <w:rPr>
                <w:sz w:val="17"/>
              </w:rPr>
              <w:t>Navigation</w:t>
            </w:r>
          </w:p>
        </w:tc>
        <w:tc>
          <w:tcPr>
            <w:tcW w:type="dxa" w:w="3240"/>
            <w:vAlign w:val="center"/>
            <w:tcMar>
              <w:top w:w="120" w:type="dxa"/>
              <w:start w:w="140" w:type="dxa"/>
              <w:bottom w:w="120" w:type="dxa"/>
              <w:end w:w="140" w:type="dxa"/>
            </w:tcMar>
          </w:tcPr>
          <w:p>
            <w:pPr>
              <w:spacing w:after="0"/>
            </w:pPr>
            <w:r>
              <w:rPr>
                <w:sz w:val="17"/>
              </w:rPr>
              <w:t>Join and department controls did not consistently open the matching page.</w:t>
            </w:r>
          </w:p>
        </w:tc>
        <w:tc>
          <w:tcPr>
            <w:tcW w:type="dxa" w:w="3240"/>
            <w:vAlign w:val="center"/>
            <w:tcMar>
              <w:top w:w="120" w:type="dxa"/>
              <w:start w:w="140" w:type="dxa"/>
              <w:bottom w:w="120" w:type="dxa"/>
              <w:end w:w="140" w:type="dxa"/>
            </w:tcMar>
          </w:tcPr>
          <w:p>
            <w:pPr>
              <w:spacing w:after="0"/>
            </w:pPr>
            <w:r>
              <w:rPr>
                <w:sz w:val="17"/>
              </w:rPr>
              <w:t>Connected Join us, department selections, application views, sign-in, home, and admin routes to their corresponding pages.</w:t>
            </w:r>
          </w:p>
        </w:tc>
      </w:tr>
      <w:tr>
        <w:tc>
          <w:tcPr>
            <w:tcW w:type="dxa" w:w="2088"/>
            <w:vAlign w:val="center"/>
            <w:tcMar>
              <w:top w:w="120" w:type="dxa"/>
              <w:start w:w="140" w:type="dxa"/>
              <w:bottom w:w="120" w:type="dxa"/>
              <w:end w:w="140" w:type="dxa"/>
            </w:tcMar>
            <w:shd w:fill="F2F6FA"/>
          </w:tcPr>
          <w:p>
            <w:pPr>
              <w:spacing w:after="0"/>
            </w:pPr>
            <w:r>
              <w:rPr>
                <w:sz w:val="17"/>
              </w:rPr>
              <w:t>Content integrity</w:t>
            </w:r>
          </w:p>
        </w:tc>
        <w:tc>
          <w:tcPr>
            <w:tcW w:type="dxa" w:w="3240"/>
            <w:vAlign w:val="center"/>
            <w:tcMar>
              <w:top w:w="120" w:type="dxa"/>
              <w:start w:w="140" w:type="dxa"/>
              <w:bottom w:w="120" w:type="dxa"/>
              <w:end w:w="140" w:type="dxa"/>
            </w:tcMar>
            <w:shd w:fill="F2F6FA"/>
          </w:tcPr>
          <w:p>
            <w:pPr>
              <w:spacing w:after="0"/>
            </w:pPr>
            <w:r>
              <w:rPr>
                <w:sz w:val="17"/>
              </w:rPr>
              <w:t>Department names and questions displayed corrupted symbols and unreadable text.</w:t>
            </w:r>
          </w:p>
        </w:tc>
        <w:tc>
          <w:tcPr>
            <w:tcW w:type="dxa" w:w="3240"/>
            <w:vAlign w:val="center"/>
            <w:tcMar>
              <w:top w:w="120" w:type="dxa"/>
              <w:start w:w="140" w:type="dxa"/>
              <w:bottom w:w="120" w:type="dxa"/>
              <w:end w:w="140" w:type="dxa"/>
            </w:tcMar>
            <w:shd w:fill="F2F6FA"/>
          </w:tcPr>
          <w:p>
            <w:pPr>
              <w:spacing w:after="0"/>
            </w:pPr>
            <w:r>
              <w:rPr>
                <w:sz w:val="17"/>
              </w:rPr>
              <w:t>Replaced damaged content with clear department descriptions and department-specific questions.</w:t>
            </w:r>
          </w:p>
        </w:tc>
      </w:tr>
      <w:tr>
        <w:tc>
          <w:tcPr>
            <w:tcW w:type="dxa" w:w="2088"/>
            <w:vAlign w:val="center"/>
            <w:tcMar>
              <w:top w:w="120" w:type="dxa"/>
              <w:start w:w="140" w:type="dxa"/>
              <w:bottom w:w="120" w:type="dxa"/>
              <w:end w:w="140" w:type="dxa"/>
            </w:tcMar>
          </w:tcPr>
          <w:p>
            <w:pPr>
              <w:spacing w:after="0"/>
            </w:pPr>
            <w:r>
              <w:rPr>
                <w:sz w:val="17"/>
              </w:rPr>
              <w:t>Department cards</w:t>
            </w:r>
          </w:p>
        </w:tc>
        <w:tc>
          <w:tcPr>
            <w:tcW w:type="dxa" w:w="3240"/>
            <w:vAlign w:val="center"/>
            <w:tcMar>
              <w:top w:w="120" w:type="dxa"/>
              <w:start w:w="140" w:type="dxa"/>
              <w:bottom w:w="120" w:type="dxa"/>
              <w:end w:w="140" w:type="dxa"/>
            </w:tcMar>
          </w:tcPr>
          <w:p>
            <w:pPr>
              <w:spacing w:after="0"/>
            </w:pPr>
            <w:r>
              <w:rPr>
                <w:sz w:val="17"/>
              </w:rPr>
              <w:t>Cards lacked hierarchy, visual feedback, and ownership details.</w:t>
            </w:r>
          </w:p>
        </w:tc>
        <w:tc>
          <w:tcPr>
            <w:tcW w:type="dxa" w:w="3240"/>
            <w:vAlign w:val="center"/>
            <w:tcMar>
              <w:top w:w="120" w:type="dxa"/>
              <w:start w:w="140" w:type="dxa"/>
              <w:bottom w:w="120" w:type="dxa"/>
              <w:end w:w="140" w:type="dxa"/>
            </w:tcMar>
          </w:tcPr>
          <w:p>
            <w:pPr>
              <w:spacing w:after="0"/>
            </w:pPr>
            <w:r>
              <w:rPr>
                <w:sz w:val="17"/>
              </w:rPr>
              <w:t>Added repeating Google-color borders, hover elevation, interaction glow, and compact student-lead badges for all supplied leads.</w:t>
            </w:r>
          </w:p>
        </w:tc>
      </w:tr>
      <w:tr>
        <w:tc>
          <w:tcPr>
            <w:tcW w:type="dxa" w:w="2088"/>
            <w:vAlign w:val="center"/>
            <w:tcMar>
              <w:top w:w="120" w:type="dxa"/>
              <w:start w:w="140" w:type="dxa"/>
              <w:bottom w:w="120" w:type="dxa"/>
              <w:end w:w="140" w:type="dxa"/>
            </w:tcMar>
            <w:shd w:fill="F2F6FA"/>
          </w:tcPr>
          <w:p>
            <w:pPr>
              <w:spacing w:after="0"/>
            </w:pPr>
            <w:r>
              <w:rPr>
                <w:sz w:val="17"/>
              </w:rPr>
              <w:t>Theme support</w:t>
            </w:r>
          </w:p>
        </w:tc>
        <w:tc>
          <w:tcPr>
            <w:tcW w:type="dxa" w:w="3240"/>
            <w:vAlign w:val="center"/>
            <w:tcMar>
              <w:top w:w="120" w:type="dxa"/>
              <w:start w:w="140" w:type="dxa"/>
              <w:bottom w:w="120" w:type="dxa"/>
              <w:end w:w="140" w:type="dxa"/>
            </w:tcMar>
            <w:shd w:fill="F2F6FA"/>
          </w:tcPr>
          <w:p>
            <w:pPr>
              <w:spacing w:after="0"/>
            </w:pPr>
            <w:r>
              <w:rPr>
                <w:sz w:val="17"/>
              </w:rPr>
              <w:t>The design did not support a readable white theme.</w:t>
            </w:r>
          </w:p>
        </w:tc>
        <w:tc>
          <w:tcPr>
            <w:tcW w:type="dxa" w:w="3240"/>
            <w:vAlign w:val="center"/>
            <w:tcMar>
              <w:top w:w="120" w:type="dxa"/>
              <w:start w:w="140" w:type="dxa"/>
              <w:bottom w:w="120" w:type="dxa"/>
              <w:end w:w="140" w:type="dxa"/>
            </w:tcMar>
            <w:shd w:fill="F2F6FA"/>
          </w:tcPr>
          <w:p>
            <w:pPr>
              <w:spacing w:after="0"/>
            </w:pPr>
            <w:r>
              <w:rPr>
                <w:sz w:val="17"/>
              </w:rPr>
              <w:t>Added a compact persistent light and dark theme toggle and supplied theme-specific visual assets.</w:t>
            </w:r>
          </w:p>
        </w:tc>
      </w:tr>
      <w:tr>
        <w:tc>
          <w:tcPr>
            <w:tcW w:type="dxa" w:w="2088"/>
            <w:vAlign w:val="center"/>
            <w:tcMar>
              <w:top w:w="120" w:type="dxa"/>
              <w:start w:w="140" w:type="dxa"/>
              <w:bottom w:w="120" w:type="dxa"/>
              <w:end w:w="140" w:type="dxa"/>
            </w:tcMar>
          </w:tcPr>
          <w:p>
            <w:pPr>
              <w:spacing w:after="0"/>
            </w:pPr>
            <w:r>
              <w:rPr>
                <w:sz w:val="17"/>
              </w:rPr>
              <w:t>Local usability</w:t>
            </w:r>
          </w:p>
        </w:tc>
        <w:tc>
          <w:tcPr>
            <w:tcW w:type="dxa" w:w="3240"/>
            <w:vAlign w:val="center"/>
            <w:tcMar>
              <w:top w:w="120" w:type="dxa"/>
              <w:start w:w="140" w:type="dxa"/>
              <w:bottom w:w="120" w:type="dxa"/>
              <w:end w:w="140" w:type="dxa"/>
            </w:tcMar>
          </w:tcPr>
          <w:p>
            <w:pPr>
              <w:spacing w:after="0"/>
            </w:pPr>
            <w:r>
              <w:rPr>
                <w:sz w:val="17"/>
              </w:rPr>
              <w:t>The site could not be reviewed without Firebase.</w:t>
            </w:r>
          </w:p>
        </w:tc>
        <w:tc>
          <w:tcPr>
            <w:tcW w:type="dxa" w:w="3240"/>
            <w:vAlign w:val="center"/>
            <w:tcMar>
              <w:top w:w="120" w:type="dxa"/>
              <w:start w:w="140" w:type="dxa"/>
              <w:bottom w:w="120" w:type="dxa"/>
              <w:end w:w="140" w:type="dxa"/>
            </w:tcMar>
          </w:tcPr>
          <w:p>
            <w:pPr>
              <w:spacing w:after="0"/>
            </w:pPr>
            <w:r>
              <w:rPr>
                <w:sz w:val="17"/>
              </w:rPr>
              <w:t>Added demo authentication and temporary demo storage, allowing the complete application journey to run locally.</w:t>
            </w:r>
          </w:p>
        </w:tc>
      </w:tr>
      <w:tr>
        <w:tc>
          <w:tcPr>
            <w:tcW w:type="dxa" w:w="2088"/>
            <w:vAlign w:val="center"/>
            <w:tcMar>
              <w:top w:w="120" w:type="dxa"/>
              <w:start w:w="140" w:type="dxa"/>
              <w:bottom w:w="120" w:type="dxa"/>
              <w:end w:w="140" w:type="dxa"/>
            </w:tcMar>
            <w:shd w:fill="F2F6FA"/>
          </w:tcPr>
          <w:p>
            <w:pPr>
              <w:spacing w:after="0"/>
            </w:pPr>
            <w:r>
              <w:rPr>
                <w:sz w:val="17"/>
              </w:rPr>
              <w:t>Submission deadline</w:t>
            </w:r>
          </w:p>
        </w:tc>
        <w:tc>
          <w:tcPr>
            <w:tcW w:type="dxa" w:w="3240"/>
            <w:vAlign w:val="center"/>
            <w:tcMar>
              <w:top w:w="120" w:type="dxa"/>
              <w:start w:w="140" w:type="dxa"/>
              <w:bottom w:w="120" w:type="dxa"/>
              <w:end w:w="140" w:type="dxa"/>
            </w:tcMar>
            <w:shd w:fill="F2F6FA"/>
          </w:tcPr>
          <w:p>
            <w:pPr>
              <w:spacing w:after="0"/>
            </w:pPr>
            <w:r>
              <w:rPr>
                <w:sz w:val="17"/>
              </w:rPr>
              <w:t>A hard-coded 23 August 2026 deadline blocked all real submissions after that date.</w:t>
            </w:r>
          </w:p>
        </w:tc>
        <w:tc>
          <w:tcPr>
            <w:tcW w:type="dxa" w:w="3240"/>
            <w:vAlign w:val="center"/>
            <w:tcMar>
              <w:top w:w="120" w:type="dxa"/>
              <w:start w:w="140" w:type="dxa"/>
              <w:bottom w:w="120" w:type="dxa"/>
              <w:end w:w="140" w:type="dxa"/>
            </w:tcMar>
            <w:shd w:fill="F2F6FA"/>
          </w:tcPr>
          <w:p>
            <w:pPr>
              <w:spacing w:after="0"/>
            </w:pPr>
            <w:r>
              <w:rPr>
                <w:sz w:val="17"/>
              </w:rPr>
              <w:t>Made the deadline optional and environment-controlled through APPLICATION_DEADLINE.</w:t>
            </w:r>
          </w:p>
        </w:tc>
      </w:tr>
      <w:tr>
        <w:tc>
          <w:tcPr>
            <w:tcW w:type="dxa" w:w="2088"/>
            <w:vAlign w:val="center"/>
            <w:tcMar>
              <w:top w:w="120" w:type="dxa"/>
              <w:start w:w="140" w:type="dxa"/>
              <w:bottom w:w="120" w:type="dxa"/>
              <w:end w:w="140" w:type="dxa"/>
            </w:tcMar>
          </w:tcPr>
          <w:p>
            <w:pPr>
              <w:spacing w:after="0"/>
            </w:pPr>
            <w:r>
              <w:rPr>
                <w:sz w:val="17"/>
              </w:rPr>
              <w:t>Response storage</w:t>
            </w:r>
          </w:p>
        </w:tc>
        <w:tc>
          <w:tcPr>
            <w:tcW w:type="dxa" w:w="3240"/>
            <w:vAlign w:val="center"/>
            <w:tcMar>
              <w:top w:w="120" w:type="dxa"/>
              <w:start w:w="140" w:type="dxa"/>
              <w:bottom w:w="120" w:type="dxa"/>
              <w:end w:w="140" w:type="dxa"/>
            </w:tcMar>
          </w:tcPr>
          <w:p>
            <w:pPr>
              <w:spacing w:after="0"/>
            </w:pPr>
            <w:r>
              <w:rPr>
                <w:sz w:val="17"/>
              </w:rPr>
              <w:t>Concurrent requests could create duplicate department responses or exceed the two-application limit.</w:t>
            </w:r>
          </w:p>
        </w:tc>
        <w:tc>
          <w:tcPr>
            <w:tcW w:type="dxa" w:w="3240"/>
            <w:vAlign w:val="center"/>
            <w:tcMar>
              <w:top w:w="120" w:type="dxa"/>
              <w:start w:w="140" w:type="dxa"/>
              <w:bottom w:w="120" w:type="dxa"/>
              <w:end w:w="140" w:type="dxa"/>
            </w:tcMar>
          </w:tcPr>
          <w:p>
            <w:pPr>
              <w:spacing w:after="0"/>
            </w:pPr>
            <w:r>
              <w:rPr>
                <w:sz w:val="17"/>
              </w:rPr>
              <w:t>Added deterministic application IDs and a Firestore transaction with a per-user state record, making both rules atomic.</w:t>
            </w:r>
          </w:p>
        </w:tc>
      </w:tr>
      <w:tr>
        <w:tc>
          <w:tcPr>
            <w:tcW w:type="dxa" w:w="2088"/>
            <w:vAlign w:val="center"/>
            <w:tcMar>
              <w:top w:w="120" w:type="dxa"/>
              <w:start w:w="140" w:type="dxa"/>
              <w:bottom w:w="120" w:type="dxa"/>
              <w:end w:w="140" w:type="dxa"/>
            </w:tcMar>
            <w:shd w:fill="F2F6FA"/>
          </w:tcPr>
          <w:p>
            <w:pPr>
              <w:spacing w:after="0"/>
            </w:pPr>
            <w:r>
              <w:rPr>
                <w:sz w:val="17"/>
              </w:rPr>
              <w:t>Input trust</w:t>
            </w:r>
          </w:p>
        </w:tc>
        <w:tc>
          <w:tcPr>
            <w:tcW w:type="dxa" w:w="3240"/>
            <w:vAlign w:val="center"/>
            <w:tcMar>
              <w:top w:w="120" w:type="dxa"/>
              <w:start w:w="140" w:type="dxa"/>
              <w:bottom w:w="120" w:type="dxa"/>
              <w:end w:w="140" w:type="dxa"/>
            </w:tcMar>
            <w:shd w:fill="F2F6FA"/>
          </w:tcPr>
          <w:p>
            <w:pPr>
              <w:spacing w:after="0"/>
            </w:pPr>
            <w:r>
              <w:rPr>
                <w:sz w:val="17"/>
              </w:rPr>
              <w:t>The API accepted arbitrary departments, oversized answers, and weakly validated personal fields.</w:t>
            </w:r>
          </w:p>
        </w:tc>
        <w:tc>
          <w:tcPr>
            <w:tcW w:type="dxa" w:w="3240"/>
            <w:vAlign w:val="center"/>
            <w:tcMar>
              <w:top w:w="120" w:type="dxa"/>
              <w:start w:w="140" w:type="dxa"/>
              <w:bottom w:w="120" w:type="dxa"/>
              <w:end w:w="140" w:type="dxa"/>
            </w:tcMar>
            <w:shd w:fill="F2F6FA"/>
          </w:tcPr>
          <w:p>
            <w:pPr>
              <w:spacing w:after="0"/>
            </w:pPr>
            <w:r>
              <w:rPr>
                <w:sz w:val="17"/>
              </w:rPr>
              <w:t>Added server-side department allowlisting, normalization, length limits, and validation for name, registration number, phone, and question data.</w:t>
            </w:r>
          </w:p>
        </w:tc>
      </w:tr>
      <w:tr>
        <w:tc>
          <w:tcPr>
            <w:tcW w:type="dxa" w:w="2088"/>
            <w:vAlign w:val="center"/>
            <w:tcMar>
              <w:top w:w="120" w:type="dxa"/>
              <w:start w:w="140" w:type="dxa"/>
              <w:bottom w:w="120" w:type="dxa"/>
              <w:end w:w="140" w:type="dxa"/>
            </w:tcMar>
          </w:tcPr>
          <w:p>
            <w:pPr>
              <w:spacing w:after="0"/>
            </w:pPr>
            <w:r>
              <w:rPr>
                <w:sz w:val="17"/>
              </w:rPr>
              <w:t>Admin privacy</w:t>
            </w:r>
          </w:p>
        </w:tc>
        <w:tc>
          <w:tcPr>
            <w:tcW w:type="dxa" w:w="3240"/>
            <w:vAlign w:val="center"/>
            <w:tcMar>
              <w:top w:w="120" w:type="dxa"/>
              <w:start w:w="140" w:type="dxa"/>
              <w:bottom w:w="120" w:type="dxa"/>
              <w:end w:w="140" w:type="dxa"/>
            </w:tcMar>
          </w:tcPr>
          <w:p>
            <w:pPr>
              <w:spacing w:after="0"/>
            </w:pPr>
            <w:r>
              <w:rPr>
                <w:sz w:val="17"/>
              </w:rPr>
              <w:t>The admin page and applicants API read all application records before proving administrator access.</w:t>
            </w:r>
          </w:p>
        </w:tc>
        <w:tc>
          <w:tcPr>
            <w:tcW w:type="dxa" w:w="3240"/>
            <w:vAlign w:val="center"/>
            <w:tcMar>
              <w:top w:w="120" w:type="dxa"/>
              <w:start w:w="140" w:type="dxa"/>
              <w:bottom w:w="120" w:type="dxa"/>
              <w:end w:w="140" w:type="dxa"/>
            </w:tcMar>
          </w:tcPr>
          <w:p>
            <w:pPr>
              <w:spacing w:after="0"/>
            </w:pPr>
            <w:r>
              <w:rPr>
                <w:sz w:val="17"/>
              </w:rPr>
              <w:t>Moved authorization to the server and added role or ADMIN_EMAILS allowlist checks before any applicant query.</w:t>
            </w:r>
          </w:p>
        </w:tc>
      </w:tr>
      <w:tr>
        <w:tc>
          <w:tcPr>
            <w:tcW w:type="dxa" w:w="2088"/>
            <w:vAlign w:val="center"/>
            <w:tcMar>
              <w:top w:w="120" w:type="dxa"/>
              <w:start w:w="140" w:type="dxa"/>
              <w:bottom w:w="120" w:type="dxa"/>
              <w:end w:w="140" w:type="dxa"/>
            </w:tcMar>
            <w:shd w:fill="F2F6FA"/>
          </w:tcPr>
          <w:p>
            <w:pPr>
              <w:spacing w:after="0"/>
            </w:pPr>
            <w:r>
              <w:rPr>
                <w:sz w:val="17"/>
              </w:rPr>
              <w:t>Admin actions</w:t>
            </w:r>
          </w:p>
        </w:tc>
        <w:tc>
          <w:tcPr>
            <w:tcW w:type="dxa" w:w="3240"/>
            <w:vAlign w:val="center"/>
            <w:tcMar>
              <w:top w:w="120" w:type="dxa"/>
              <w:start w:w="140" w:type="dxa"/>
              <w:bottom w:w="120" w:type="dxa"/>
              <w:end w:w="140" w:type="dxa"/>
            </w:tcMar>
            <w:shd w:fill="F2F6FA"/>
          </w:tcPr>
          <w:p>
            <w:pPr>
              <w:spacing w:after="0"/>
            </w:pPr>
            <w:r>
              <w:rPr>
                <w:sz w:val="17"/>
              </w:rPr>
              <w:t>Shortlist and email APIs could be called without server-side administrator authorization.</w:t>
            </w:r>
          </w:p>
        </w:tc>
        <w:tc>
          <w:tcPr>
            <w:tcW w:type="dxa" w:w="3240"/>
            <w:vAlign w:val="center"/>
            <w:tcMar>
              <w:top w:w="120" w:type="dxa"/>
              <w:start w:w="140" w:type="dxa"/>
              <w:bottom w:w="120" w:type="dxa"/>
              <w:end w:w="140" w:type="dxa"/>
            </w:tcMar>
            <w:shd w:fill="F2F6FA"/>
          </w:tcPr>
          <w:p>
            <w:pPr>
              <w:spacing w:after="0"/>
            </w:pPr>
            <w:r>
              <w:rPr>
                <w:sz w:val="17"/>
              </w:rPr>
              <w:t>Protected both endpoints and validated shortlist and mail request payloads.</w:t>
            </w:r>
          </w:p>
        </w:tc>
      </w:tr>
      <w:tr>
        <w:tc>
          <w:tcPr>
            <w:tcW w:type="dxa" w:w="2088"/>
            <w:vAlign w:val="center"/>
            <w:tcMar>
              <w:top w:w="120" w:type="dxa"/>
              <w:start w:w="140" w:type="dxa"/>
              <w:bottom w:w="120" w:type="dxa"/>
              <w:end w:w="140" w:type="dxa"/>
            </w:tcMar>
          </w:tcPr>
          <w:p>
            <w:pPr>
              <w:spacing w:after="0"/>
            </w:pPr>
            <w:r>
              <w:rPr>
                <w:sz w:val="17"/>
              </w:rPr>
              <w:t>Selection workflow</w:t>
            </w:r>
          </w:p>
        </w:tc>
        <w:tc>
          <w:tcPr>
            <w:tcW w:type="dxa" w:w="3240"/>
            <w:vAlign w:val="center"/>
            <w:tcMar>
              <w:top w:w="120" w:type="dxa"/>
              <w:start w:w="140" w:type="dxa"/>
              <w:bottom w:w="120" w:type="dxa"/>
              <w:end w:w="140" w:type="dxa"/>
            </w:tcMar>
          </w:tcPr>
          <w:p>
            <w:pPr>
              <w:spacing w:after="0"/>
            </w:pPr>
            <w:r>
              <w:rPr>
                <w:sz w:val="17"/>
              </w:rPr>
              <w:t>Selecting a student only changed one flag and did not create a durable selection or email event.</w:t>
            </w:r>
          </w:p>
        </w:tc>
        <w:tc>
          <w:tcPr>
            <w:tcW w:type="dxa" w:w="3240"/>
            <w:vAlign w:val="center"/>
            <w:tcMar>
              <w:top w:w="120" w:type="dxa"/>
              <w:start w:w="140" w:type="dxa"/>
              <w:bottom w:w="120" w:type="dxa"/>
              <w:end w:w="140" w:type="dxa"/>
            </w:tcMar>
          </w:tcPr>
          <w:p>
            <w:pPr>
              <w:spacing w:after="0"/>
            </w:pPr>
            <w:r>
              <w:rPr>
                <w:sz w:val="17"/>
              </w:rPr>
              <w:t>Shortlisting now atomically updates the application, writes selectedApplicants, and creates an idempotent emailQueue job; unshortlisting cancels the queue record.</w:t>
            </w:r>
          </w:p>
        </w:tc>
      </w:tr>
      <w:tr>
        <w:tc>
          <w:tcPr>
            <w:tcW w:type="dxa" w:w="2088"/>
            <w:vAlign w:val="center"/>
            <w:tcMar>
              <w:top w:w="120" w:type="dxa"/>
              <w:start w:w="140" w:type="dxa"/>
              <w:bottom w:w="120" w:type="dxa"/>
              <w:end w:w="140" w:type="dxa"/>
            </w:tcMar>
            <w:shd w:fill="F2F6FA"/>
          </w:tcPr>
          <w:p>
            <w:pPr>
              <w:spacing w:after="0"/>
            </w:pPr>
            <w:r>
              <w:rPr>
                <w:sz w:val="17"/>
              </w:rPr>
              <w:t>Client performance</w:t>
            </w:r>
          </w:p>
        </w:tc>
        <w:tc>
          <w:tcPr>
            <w:tcW w:type="dxa" w:w="3240"/>
            <w:vAlign w:val="center"/>
            <w:tcMar>
              <w:top w:w="120" w:type="dxa"/>
              <w:start w:w="140" w:type="dxa"/>
              <w:bottom w:w="120" w:type="dxa"/>
              <w:end w:w="140" w:type="dxa"/>
            </w:tcMar>
            <w:shd w:fill="F2F6FA"/>
          </w:tcPr>
          <w:p>
            <w:pPr>
              <w:spacing w:after="0"/>
            </w:pPr>
            <w:r>
              <w:rPr>
                <w:sz w:val="17"/>
              </w:rPr>
              <w:t>The admin interface performed artificial CPU-heavy loops and repeated derived-state effects during rendering.</w:t>
            </w:r>
          </w:p>
        </w:tc>
        <w:tc>
          <w:tcPr>
            <w:tcW w:type="dxa" w:w="3240"/>
            <w:vAlign w:val="center"/>
            <w:tcMar>
              <w:top w:w="120" w:type="dxa"/>
              <w:start w:w="140" w:type="dxa"/>
              <w:bottom w:w="120" w:type="dxa"/>
              <w:end w:w="140" w:type="dxa"/>
            </w:tcMar>
            <w:shd w:fill="F2F6FA"/>
          </w:tcPr>
          <w:p>
            <w:pPr>
              <w:spacing w:after="0"/>
            </w:pPr>
            <w:r>
              <w:rPr>
                <w:sz w:val="17"/>
              </w:rPr>
              <w:t>Removed the loops and redundant state chain and changed filter intersection from nested scans to Set-based lookup.</w:t>
            </w:r>
          </w:p>
        </w:tc>
      </w:tr>
      <w:tr>
        <w:tc>
          <w:tcPr>
            <w:tcW w:type="dxa" w:w="2088"/>
            <w:vAlign w:val="center"/>
            <w:tcMar>
              <w:top w:w="120" w:type="dxa"/>
              <w:start w:w="140" w:type="dxa"/>
              <w:bottom w:w="120" w:type="dxa"/>
              <w:end w:w="140" w:type="dxa"/>
            </w:tcMar>
          </w:tcPr>
          <w:p>
            <w:pPr>
              <w:spacing w:after="0"/>
            </w:pPr>
            <w:r>
              <w:rPr>
                <w:sz w:val="17"/>
              </w:rPr>
              <w:t>Firestore exposure</w:t>
            </w:r>
          </w:p>
        </w:tc>
        <w:tc>
          <w:tcPr>
            <w:tcW w:type="dxa" w:w="3240"/>
            <w:vAlign w:val="center"/>
            <w:tcMar>
              <w:top w:w="120" w:type="dxa"/>
              <w:start w:w="140" w:type="dxa"/>
              <w:bottom w:w="120" w:type="dxa"/>
              <w:end w:w="140" w:type="dxa"/>
            </w:tcMar>
          </w:tcPr>
          <w:p>
            <w:pPr>
              <w:spacing w:after="0"/>
            </w:pPr>
            <w:r>
              <w:rPr>
                <w:sz w:val="17"/>
              </w:rPr>
              <w:t>Original Firestore rules allowed unrestricted reads and writes.</w:t>
            </w:r>
          </w:p>
        </w:tc>
        <w:tc>
          <w:tcPr>
            <w:tcW w:type="dxa" w:w="3240"/>
            <w:vAlign w:val="center"/>
            <w:tcMar>
              <w:top w:w="120" w:type="dxa"/>
              <w:start w:w="140" w:type="dxa"/>
              <w:bottom w:w="120" w:type="dxa"/>
              <w:end w:w="140" w:type="dxa"/>
            </w:tcMar>
          </w:tcPr>
          <w:p>
            <w:pPr>
              <w:spacing w:after="0"/>
            </w:pPr>
            <w:r>
              <w:rPr>
                <w:sz w:val="17"/>
              </w:rPr>
              <w:t>Deployed default-deny Firestore rules for the server-only Admin SDK architecture and documented the security analysis.</w:t>
            </w:r>
          </w:p>
        </w:tc>
      </w:tr>
      <w:tr>
        <w:tc>
          <w:tcPr>
            <w:tcW w:type="dxa" w:w="2088"/>
            <w:vAlign w:val="center"/>
            <w:tcMar>
              <w:top w:w="120" w:type="dxa"/>
              <w:start w:w="140" w:type="dxa"/>
              <w:bottom w:w="120" w:type="dxa"/>
              <w:end w:w="140" w:type="dxa"/>
            </w:tcMar>
            <w:shd w:fill="F2F6FA"/>
          </w:tcPr>
          <w:p>
            <w:pPr>
              <w:spacing w:after="0"/>
            </w:pPr>
            <w:r>
              <w:rPr>
                <w:sz w:val="17"/>
              </w:rPr>
              <w:t>Credentials</w:t>
            </w:r>
          </w:p>
        </w:tc>
        <w:tc>
          <w:tcPr>
            <w:tcW w:type="dxa" w:w="3240"/>
            <w:vAlign w:val="center"/>
            <w:tcMar>
              <w:top w:w="120" w:type="dxa"/>
              <w:start w:w="140" w:type="dxa"/>
              <w:bottom w:w="120" w:type="dxa"/>
              <w:end w:w="140" w:type="dxa"/>
            </w:tcMar>
            <w:shd w:fill="F2F6FA"/>
          </w:tcPr>
          <w:p>
            <w:pPr>
              <w:spacing w:after="0"/>
            </w:pPr>
            <w:r>
              <w:rPr>
                <w:sz w:val="17"/>
              </w:rPr>
              <w:t>The project had placeholder Firebase configuration and no usable server identity.</w:t>
            </w:r>
          </w:p>
        </w:tc>
        <w:tc>
          <w:tcPr>
            <w:tcW w:type="dxa" w:w="3240"/>
            <w:vAlign w:val="center"/>
            <w:tcMar>
              <w:top w:w="120" w:type="dxa"/>
              <w:start w:w="140" w:type="dxa"/>
              <w:bottom w:w="120" w:type="dxa"/>
              <w:end w:w="140" w:type="dxa"/>
            </w:tcMar>
            <w:shd w:fill="F2F6FA"/>
          </w:tcPr>
          <w:p>
            <w:pPr>
              <w:spacing w:after="0"/>
            </w:pPr>
            <w:r>
              <w:rPr>
                <w:sz w:val="17"/>
              </w:rPr>
              <w:t>Created the Firebase project, Standard Firestore database in Mumbai, restricted service account, external JSON credential, and verified the Admin SDK connection.</w:t>
            </w:r>
          </w:p>
        </w:tc>
      </w:tr>
      <w:tr>
        <w:tc>
          <w:tcPr>
            <w:tcW w:type="dxa" w:w="2088"/>
            <w:vAlign w:val="center"/>
            <w:tcMar>
              <w:top w:w="120" w:type="dxa"/>
              <w:start w:w="140" w:type="dxa"/>
              <w:bottom w:w="120" w:type="dxa"/>
              <w:end w:w="140" w:type="dxa"/>
            </w:tcMar>
          </w:tcPr>
          <w:p>
            <w:pPr>
              <w:spacing w:after="0"/>
            </w:pPr>
            <w:r>
              <w:rPr>
                <w:sz w:val="17"/>
              </w:rPr>
              <w:t>Secret handling</w:t>
            </w:r>
          </w:p>
        </w:tc>
        <w:tc>
          <w:tcPr>
            <w:tcW w:type="dxa" w:w="3240"/>
            <w:vAlign w:val="center"/>
            <w:tcMar>
              <w:top w:w="120" w:type="dxa"/>
              <w:start w:w="140" w:type="dxa"/>
              <w:bottom w:w="120" w:type="dxa"/>
              <w:end w:w="140" w:type="dxa"/>
            </w:tcMar>
          </w:tcPr>
          <w:p>
            <w:pPr>
              <w:spacing w:after="0"/>
            </w:pPr>
            <w:r>
              <w:rPr>
                <w:sz w:val="17"/>
              </w:rPr>
              <w:t>Service-account files could be copied into the repository accidentally.</w:t>
            </w:r>
          </w:p>
        </w:tc>
        <w:tc>
          <w:tcPr>
            <w:tcW w:type="dxa" w:w="3240"/>
            <w:vAlign w:val="center"/>
            <w:tcMar>
              <w:top w:w="120" w:type="dxa"/>
              <w:start w:w="140" w:type="dxa"/>
              <w:bottom w:w="120" w:type="dxa"/>
              <w:end w:w="140" w:type="dxa"/>
            </w:tcMar>
          </w:tcPr>
          <w:p>
            <w:pPr>
              <w:spacing w:after="0"/>
            </w:pPr>
            <w:r>
              <w:rPr>
                <w:sz w:val="17"/>
              </w:rPr>
              <w:t>Stored the credential outside the repository and added service-account JSON patterns to .gitignore.</w:t>
            </w:r>
          </w:p>
        </w:tc>
      </w:tr>
      <w:tr>
        <w:tc>
          <w:tcPr>
            <w:tcW w:type="dxa" w:w="2088"/>
            <w:vAlign w:val="center"/>
            <w:shd w:fill="F2F6FA"/>
            <w:tcMar>
              <w:top w:w="120" w:type="dxa"/>
              <w:start w:w="140" w:type="dxa"/>
              <w:bottom w:w="120" w:type="dxa"/>
              <w:end w:w="140" w:type="dxa"/>
            </w:tcMar>
          </w:tcPr>
          <w:p>
            <w:r>
              <w:rPr>
                <w:sz w:val="17"/>
              </w:rPr>
              <w:t>Authentication UI</w:t>
            </w:r>
          </w:p>
        </w:tc>
        <w:tc>
          <w:tcPr>
            <w:tcW w:type="dxa" w:w="3240"/>
            <w:vAlign w:val="center"/>
            <w:shd w:fill="F2F6FA"/>
            <w:tcMar>
              <w:top w:w="120" w:type="dxa"/>
              <w:start w:w="140" w:type="dxa"/>
              <w:bottom w:w="120" w:type="dxa"/>
              <w:end w:w="140" w:type="dxa"/>
            </w:tcMar>
          </w:tcPr>
          <w:p>
            <w:r>
              <w:rPr>
                <w:sz w:val="17"/>
              </w:rPr>
              <w:t>The candidate sign-in page had no Google OAuth action and restricted valid return paths.</w:t>
            </w:r>
          </w:p>
        </w:tc>
        <w:tc>
          <w:tcPr>
            <w:tcW w:type="dxa" w:w="3240"/>
            <w:vAlign w:val="center"/>
            <w:shd w:fill="F2F6FA"/>
            <w:tcMar>
              <w:top w:w="120" w:type="dxa"/>
              <w:start w:w="140" w:type="dxa"/>
              <w:bottom w:w="120" w:type="dxa"/>
              <w:end w:w="140" w:type="dxa"/>
            </w:tcMar>
          </w:tcPr>
          <w:p>
            <w:r>
              <w:rPr>
                <w:sz w:val="17"/>
              </w:rPr>
              <w:t>Added a styled Continue with Google action through Better Auth and safe local return-path handling, including the admin route.</w:t>
            </w:r>
          </w:p>
        </w:tc>
      </w:tr>
      <w:tr>
        <w:tc>
          <w:tcPr>
            <w:tcW w:type="dxa" w:w="3389"/>
            <w:shd w:fill="FFFFFF"/>
            <w:tcMar>
              <w:top w:w="120" w:type="dxa"/>
              <w:start w:w="140" w:type="dxa"/>
              <w:bottom w:w="120" w:type="dxa"/>
              <w:end w:w="140" w:type="dxa"/>
            </w:tcMar>
          </w:tcPr>
          <w:p>
            <w:r>
              <w:rPr>
                <w:sz w:val="17"/>
              </w:rPr>
              <w:t>Account navigation</w:t>
            </w:r>
          </w:p>
        </w:tc>
        <w:tc>
          <w:tcPr>
            <w:tcW w:type="dxa" w:w="3389"/>
            <w:shd w:fill="FFFFFF"/>
            <w:tcMar>
              <w:top w:w="120" w:type="dxa"/>
              <w:start w:w="140" w:type="dxa"/>
              <w:bottom w:w="120" w:type="dxa"/>
              <w:end w:w="140" w:type="dxa"/>
            </w:tcMar>
          </w:tcPr>
          <w:p>
            <w:r>
              <w:rPr>
                <w:sz w:val="17"/>
              </w:rPr>
              <w:t>Signed-in navigation exposed only a plain Sign Out link.</w:t>
            </w:r>
          </w:p>
        </w:tc>
        <w:tc>
          <w:tcPr>
            <w:tcW w:type="dxa" w:w="3389"/>
            <w:shd w:fill="FFFFFF"/>
            <w:tcMar>
              <w:top w:w="120" w:type="dxa"/>
              <w:start w:w="140" w:type="dxa"/>
              <w:bottom w:w="120" w:type="dxa"/>
              <w:end w:w="140" w:type="dxa"/>
            </w:tcMar>
          </w:tcPr>
          <w:p>
            <w:r>
              <w:rPr>
                <w:sz w:val="17"/>
              </w:rPr>
              <w:t>Added an avatar account control with hover and keyboard-focus details, email display, and a Sign out action.</w:t>
            </w:r>
          </w:p>
        </w:tc>
      </w:tr>
    </w:tbl>
    <w:p/>
    <w:p>
      <w:pPr>
        <w:pStyle w:val="Heading1"/>
      </w:pPr>
      <w:r>
        <w:t>Backend storage correction</w:t>
      </w:r>
    </w:p>
    <w:p>
      <w:r>
        <w:t>Each application now uses a SHA-256 identifier derived from the signed-in email and normalized department. The identifier prevents a second document for the same user and department. A companion applicationUsers record is read and updated in the same Firestore transaction, so two requests arriving together cannot both pass the two-department limit.</w:t>
      </w:r>
    </w:p>
    <w:p>
      <w:r>
        <w:t>Applicant identity comes from the authenticated server session. The API ignores any email supplied by the browser. Personal data and answers are normalized and validated before storage. The selectedApplicants and emailQueue documents are written in the same transaction as the shortlist status, preventing partial state when one write fails.</w:t>
      </w:r>
    </w:p>
    <w:p>
      <w:pPr>
        <w:pStyle w:val="Heading1"/>
      </w:pPr>
      <w:r>
        <w:t>Security and access controls</w:t>
      </w:r>
    </w:p>
    <w:p>
      <w:pPr>
        <w:pStyle w:val="ListBullet"/>
      </w:pPr>
      <w:r>
        <w:t>Firestore client access is denied by deployed rules; trusted server code accesses data with a dedicated Cloud Datastore User service account.</w:t>
      </w:r>
    </w:p>
    <w:p>
      <w:pPr>
        <w:pStyle w:val="ListBullet"/>
      </w:pPr>
      <w:r>
        <w:t>Admin pages and endpoints check the Better Auth session before reading or mutating applicant data.</w:t>
      </w:r>
    </w:p>
    <w:p>
      <w:pPr>
        <w:pStyle w:val="ListBullet"/>
      </w:pPr>
      <w:r>
        <w:t>Administrators can be recognized by the Better Auth admin role or by a comma-separated ADMIN_EMAILS allowlist.</w:t>
      </w:r>
    </w:p>
    <w:p>
      <w:pPr>
        <w:pStyle w:val="ListBullet"/>
      </w:pPr>
      <w:r>
        <w:t>The downloadable service-account credential is stored outside the project folder and was verified without printing its secret values.</w:t>
      </w:r>
    </w:p>
    <w:p>
      <w:pPr>
        <w:pStyle w:val="Heading1"/>
      </w:pPr>
      <w:r>
        <w:t>Verified project state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c>
          <w:tcPr>
            <w:tcW w:type="dxa" w:w="4464"/>
            <w:shd w:fill="188038"/>
            <w:tcMar>
              <w:top w:w="120" w:type="dxa"/>
              <w:start w:w="140" w:type="dxa"/>
              <w:bottom w:w="120" w:type="dxa"/>
              <w:end w:w="140" w:type="dxa"/>
            </w:tcMar>
          </w:tcPr>
          <w:p>
            <w:r>
              <w:rPr>
                <w:b/>
                <w:color w:val="FFFFFF"/>
              </w:rPr>
              <w:t>Verification</w:t>
            </w:r>
          </w:p>
        </w:tc>
        <w:tc>
          <w:tcPr>
            <w:tcW w:type="dxa" w:w="4464"/>
            <w:shd w:fill="188038"/>
            <w:tcMar>
              <w:top w:w="120" w:type="dxa"/>
              <w:start w:w="140" w:type="dxa"/>
              <w:bottom w:w="120" w:type="dxa"/>
              <w:end w:w="140" w:type="dxa"/>
            </w:tcMar>
          </w:tcPr>
          <w:p>
            <w:r>
              <w:rPr>
                <w:b/>
                <w:color w:val="FFFFFF"/>
              </w:rPr>
              <w:t>Result</w:t>
            </w:r>
          </w:p>
        </w:tc>
      </w:tr>
      <w:tr>
        <w:tc>
          <w:tcPr>
            <w:tcW w:type="dxa" w:w="4464"/>
            <w:tcMar>
              <w:top w:w="120" w:type="dxa"/>
              <w:start w:w="140" w:type="dxa"/>
              <w:bottom w:w="120" w:type="dxa"/>
              <w:end w:w="140" w:type="dxa"/>
            </w:tcMar>
            <w:vAlign w:val="center"/>
          </w:tcPr>
          <w:p>
            <w:r>
              <w:rPr>
                <w:sz w:val="18"/>
              </w:rPr>
              <w:t>Firebase Admin SDK connection</w:t>
            </w:r>
          </w:p>
        </w:tc>
        <w:tc>
          <w:tcPr>
            <w:tcW w:type="dxa" w:w="4464"/>
            <w:tcMar>
              <w:top w:w="120" w:type="dxa"/>
              <w:start w:w="140" w:type="dxa"/>
              <w:bottom w:w="120" w:type="dxa"/>
              <w:end w:w="140" w:type="dxa"/>
            </w:tcMar>
            <w:vAlign w:val="center"/>
          </w:tcPr>
          <w:p>
            <w:r>
              <w:rPr>
                <w:sz w:val="18"/>
              </w:rPr>
              <w:t>Passed against gdg-vitc-recruitment-2026</w:t>
            </w:r>
          </w:p>
        </w:tc>
      </w:tr>
      <w:tr>
        <w:tc>
          <w:tcPr>
            <w:tcW w:type="dxa" w:w="4464"/>
            <w:tcMar>
              <w:top w:w="120" w:type="dxa"/>
              <w:start w:w="140" w:type="dxa"/>
              <w:bottom w:w="120" w:type="dxa"/>
              <w:end w:w="140" w:type="dxa"/>
            </w:tcMar>
            <w:vAlign w:val="center"/>
            <w:shd w:fill="EEF7F1"/>
          </w:tcPr>
          <w:p>
            <w:r>
              <w:rPr>
                <w:sz w:val="18"/>
              </w:rPr>
              <w:t>Firestore database</w:t>
            </w:r>
          </w:p>
        </w:tc>
        <w:tc>
          <w:tcPr>
            <w:tcW w:type="dxa" w:w="4464"/>
            <w:tcMar>
              <w:top w:w="120" w:type="dxa"/>
              <w:start w:w="140" w:type="dxa"/>
              <w:bottom w:w="120" w:type="dxa"/>
              <w:end w:w="140" w:type="dxa"/>
            </w:tcMar>
            <w:vAlign w:val="center"/>
            <w:shd w:fill="EEF7F1"/>
          </w:tcPr>
          <w:p>
            <w:r>
              <w:rPr>
                <w:sz w:val="18"/>
              </w:rPr>
              <w:t>Standard edition, asia-south1, deletion protection enabled</w:t>
            </w:r>
          </w:p>
        </w:tc>
      </w:tr>
      <w:tr>
        <w:tc>
          <w:tcPr>
            <w:tcW w:type="dxa" w:w="4464"/>
            <w:tcMar>
              <w:top w:w="120" w:type="dxa"/>
              <w:start w:w="140" w:type="dxa"/>
              <w:bottom w:w="120" w:type="dxa"/>
              <w:end w:w="140" w:type="dxa"/>
            </w:tcMar>
            <w:vAlign w:val="center"/>
          </w:tcPr>
          <w:p>
            <w:r>
              <w:rPr>
                <w:sz w:val="18"/>
              </w:rPr>
              <w:t>Firestore security rules</w:t>
            </w:r>
          </w:p>
        </w:tc>
        <w:tc>
          <w:tcPr>
            <w:tcW w:type="dxa" w:w="4464"/>
            <w:tcMar>
              <w:top w:w="120" w:type="dxa"/>
              <w:start w:w="140" w:type="dxa"/>
              <w:bottom w:w="120" w:type="dxa"/>
              <w:end w:w="140" w:type="dxa"/>
            </w:tcMar>
            <w:vAlign w:val="center"/>
          </w:tcPr>
          <w:p>
            <w:r>
              <w:rPr>
                <w:sz w:val="18"/>
              </w:rPr>
              <w:t>Compiled and deployed</w:t>
            </w:r>
          </w:p>
        </w:tc>
      </w:tr>
      <w:tr>
        <w:tc>
          <w:tcPr>
            <w:tcW w:type="dxa" w:w="4464"/>
            <w:tcMar>
              <w:top w:w="120" w:type="dxa"/>
              <w:start w:w="140" w:type="dxa"/>
              <w:bottom w:w="120" w:type="dxa"/>
              <w:end w:w="140" w:type="dxa"/>
            </w:tcMar>
            <w:vAlign w:val="center"/>
            <w:shd w:fill="EEF7F1"/>
          </w:tcPr>
          <w:p>
            <w:r>
              <w:rPr>
                <w:sz w:val="18"/>
              </w:rPr>
              <w:t>Next.js optimized production build</w:t>
            </w:r>
          </w:p>
        </w:tc>
        <w:tc>
          <w:tcPr>
            <w:tcW w:type="dxa" w:w="4464"/>
            <w:tcMar>
              <w:top w:w="120" w:type="dxa"/>
              <w:start w:w="140" w:type="dxa"/>
              <w:bottom w:w="120" w:type="dxa"/>
              <w:end w:w="140" w:type="dxa"/>
            </w:tcMar>
            <w:vAlign w:val="center"/>
            <w:shd w:fill="EEF7F1"/>
          </w:tcPr>
          <w:p>
            <w:r>
              <w:rPr>
                <w:sz w:val="18"/>
              </w:rPr>
              <w:t>Passed after backend and authorization changes</w:t>
            </w:r>
          </w:p>
        </w:tc>
      </w:tr>
      <w:tr>
        <w:tc>
          <w:tcPr>
            <w:tcW w:type="dxa" w:w="4464"/>
            <w:tcMar>
              <w:top w:w="120" w:type="dxa"/>
              <w:start w:w="140" w:type="dxa"/>
              <w:bottom w:w="120" w:type="dxa"/>
              <w:end w:w="140" w:type="dxa"/>
            </w:tcMar>
            <w:vAlign w:val="center"/>
          </w:tcPr>
          <w:p>
            <w:r>
              <w:rPr>
                <w:sz w:val="18"/>
              </w:rPr>
              <w:t>Local routes</w:t>
            </w:r>
          </w:p>
        </w:tc>
        <w:tc>
          <w:tcPr>
            <w:tcW w:type="dxa" w:w="4464"/>
            <w:tcMar>
              <w:top w:w="120" w:type="dxa"/>
              <w:start w:w="140" w:type="dxa"/>
              <w:bottom w:w="120" w:type="dxa"/>
              <w:end w:w="140" w:type="dxa"/>
            </w:tcMar>
            <w:vAlign w:val="center"/>
          </w:tcPr>
          <w:p>
            <w:r>
              <w:rPr>
                <w:sz w:val="18"/>
              </w:rPr>
              <w:t>Home, departments, sign-in, session API, join flow, and admin route are present</w:t>
            </w:r>
          </w:p>
        </w:tc>
      </w:tr>
      <w:tr>
        <w:tc>
          <w:tcPr>
            <w:tcW w:type="dxa" w:w="5083"/>
            <w:vAlign w:val="center"/>
            <w:shd w:fill="EEF7F1"/>
            <w:tcMar>
              <w:top w:w="120" w:type="dxa"/>
              <w:start w:w="140" w:type="dxa"/>
              <w:bottom w:w="120" w:type="dxa"/>
              <w:end w:w="140" w:type="dxa"/>
            </w:tcMar>
          </w:tcPr>
          <w:p>
            <w:r>
              <w:rPr>
                <w:sz w:val="18"/>
              </w:rPr>
              <w:t>Google OAuth web client</w:t>
            </w:r>
          </w:p>
        </w:tc>
        <w:tc>
          <w:tcPr>
            <w:tcW w:type="dxa" w:w="5083"/>
            <w:vAlign w:val="center"/>
            <w:shd w:fill="EEF7F1"/>
            <w:tcMar>
              <w:top w:w="120" w:type="dxa"/>
              <w:start w:w="140" w:type="dxa"/>
              <w:bottom w:w="120" w:type="dxa"/>
              <w:end w:w="140" w:type="dxa"/>
            </w:tcMar>
          </w:tcPr>
          <w:p>
            <w:r>
              <w:rPr>
                <w:sz w:val="18"/>
              </w:rPr>
              <w:t>Created for the internal VIT audience; local origin and Better Auth callback registered</w:t>
            </w:r>
          </w:p>
        </w:tc>
      </w:tr>
      <w:tr>
        <w:tc>
          <w:tcPr>
            <w:tcW w:type="dxa" w:w="5083"/>
            <w:shd w:fill="FFFFFF"/>
            <w:tcMar>
              <w:top w:w="120" w:type="dxa"/>
              <w:start w:w="140" w:type="dxa"/>
              <w:bottom w:w="120" w:type="dxa"/>
              <w:end w:w="140" w:type="dxa"/>
            </w:tcMar>
          </w:tcPr>
          <w:p>
            <w:r>
              <w:rPr>
                <w:sz w:val="17"/>
              </w:rPr>
              <w:t>End-to-end application workflow</w:t>
            </w:r>
          </w:p>
        </w:tc>
        <w:tc>
          <w:tcPr>
            <w:tcW w:type="dxa" w:w="5083"/>
            <w:shd w:fill="FFFFFF"/>
            <w:tcMar>
              <w:top w:w="120" w:type="dxa"/>
              <w:start w:w="140" w:type="dxa"/>
              <w:bottom w:w="120" w:type="dxa"/>
              <w:end w:w="140" w:type="dxa"/>
            </w:tcMar>
          </w:tcPr>
          <w:p>
            <w:r>
              <w:rPr>
                <w:sz w:val="17"/>
              </w:rPr>
              <w:t>Passed signup, login, concurrent duplicate protection, two-application limit, response retrieval, admin visibility, and shortlist storage; temporary test data was removed.</w:t>
            </w:r>
          </w:p>
        </w:tc>
      </w:tr>
    </w:tbl>
    <w:p>
      <w:pPr>
        <w:pStyle w:val="Heading1"/>
        <w:pageBreakBefore/>
      </w:pPr>
      <w:r>
        <w:t>External setup still required before public launch</w:t>
      </w:r>
    </w:p>
    <w:p>
      <w:r>
        <w:t>These are provider settings rather than unresolved code defects:</w:t>
      </w:r>
    </w:p>
    <w:p>
      <w:pPr>
        <w:pStyle w:val="ListBullet"/>
      </w:pPr>
      <w:r>
        <w:t>Choose the final deployment domain and set BETTER_AUTH_URL to its HTTPS address.</w:t>
      </w:r>
    </w:p>
    <w:p>
      <w:pPr>
        <w:pStyle w:val="ListBullet"/>
      </w:pPr>
      <w:r>
        <w:t>Add the real administrator email addresses to ADMIN_EMAILS.</w:t>
      </w:r>
    </w:p>
    <w:p>
      <w:pPr>
        <w:pStyle w:val="ListBullet"/>
      </w:pPr>
      <w:r>
        <w:t>Configure a transactional email provider and authenticated sending domain. The queue is ready, but delivery credentials are not yet present.</w:t>
      </w:r>
    </w:p>
    <w:p>
      <w:pPr>
        <w:pStyle w:val="ListBullet"/>
      </w:pPr>
      <w:r>
        <w:t>Set APPLICATION_DEADLINE only if applications must close automatically at a specific time.</w:t>
      </w:r>
    </w:p>
    <w:p>
      <w:pPr>
        <w:pStyle w:val="Heading1"/>
        <w:pageBreakBefore w:val="0"/>
      </w:pPr>
      <w:r>
        <w:t>Relevant collections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2088"/>
            <w:shd w:fill="1F4E78"/>
            <w:vAlign w:val="center"/>
            <w:tcMar>
              <w:top w:w="120" w:type="dxa"/>
              <w:start w:w="140" w:type="dxa"/>
              <w:bottom w:w="120" w:type="dxa"/>
              <w:end w:w="140" w:type="dxa"/>
            </w:tcMar>
          </w:tcPr>
          <w:p>
            <w:pPr>
              <w:jc w:val="left"/>
            </w:pPr>
            <w:r>
              <w:rPr>
                <w:b/>
                <w:color w:val="FFFFFF"/>
                <w:sz w:val="18"/>
              </w:rPr>
              <w:t>Area</w:t>
            </w:r>
          </w:p>
        </w:tc>
        <w:tc>
          <w:tcPr>
            <w:tcW w:type="dxa" w:w="3240"/>
            <w:shd w:fill="1F4E78"/>
            <w:vAlign w:val="center"/>
            <w:tcMar>
              <w:top w:w="120" w:type="dxa"/>
              <w:start w:w="140" w:type="dxa"/>
              <w:bottom w:w="120" w:type="dxa"/>
              <w:end w:w="140" w:type="dxa"/>
            </w:tcMar>
          </w:tcPr>
          <w:p>
            <w:pPr>
              <w:jc w:val="left"/>
            </w:pPr>
            <w:r>
              <w:rPr>
                <w:b/>
                <w:color w:val="FFFFFF"/>
                <w:sz w:val="18"/>
              </w:rPr>
              <w:t>Defect found</w:t>
            </w:r>
          </w:p>
        </w:tc>
        <w:tc>
          <w:tcPr>
            <w:tcW w:type="dxa" w:w="3240"/>
            <w:shd w:fill="1F4E78"/>
            <w:vAlign w:val="center"/>
            <w:tcMar>
              <w:top w:w="120" w:type="dxa"/>
              <w:start w:w="140" w:type="dxa"/>
              <w:bottom w:w="120" w:type="dxa"/>
              <w:end w:w="140" w:type="dxa"/>
            </w:tcMar>
          </w:tcPr>
          <w:p>
            <w:pPr>
              <w:jc w:val="left"/>
            </w:pPr>
            <w:r>
              <w:rPr>
                <w:b/>
                <w:color w:val="FFFFFF"/>
                <w:sz w:val="18"/>
              </w:rPr>
              <w:t>Resolution completed</w:t>
            </w:r>
          </w:p>
        </w:tc>
      </w:tr>
      <w:tr>
        <w:tc>
          <w:tcPr>
            <w:tcW w:type="dxa" w:w="2088"/>
            <w:vAlign w:val="center"/>
            <w:tcMar>
              <w:top w:w="120" w:type="dxa"/>
              <w:start w:w="140" w:type="dxa"/>
              <w:bottom w:w="120" w:type="dxa"/>
              <w:end w:w="140" w:type="dxa"/>
            </w:tcMar>
          </w:tcPr>
          <w:p>
            <w:pPr>
              <w:spacing w:after="0"/>
            </w:pPr>
            <w:r>
              <w:rPr>
                <w:sz w:val="17"/>
              </w:rPr>
              <w:t>formData</w:t>
            </w:r>
          </w:p>
        </w:tc>
        <w:tc>
          <w:tcPr>
            <w:tcW w:type="dxa" w:w="3240"/>
            <w:vAlign w:val="center"/>
            <w:tcMar>
              <w:top w:w="120" w:type="dxa"/>
              <w:start w:w="140" w:type="dxa"/>
              <w:bottom w:w="120" w:type="dxa"/>
              <w:end w:w="140" w:type="dxa"/>
            </w:tcMar>
          </w:tcPr>
          <w:p>
            <w:pPr>
              <w:spacing w:after="0"/>
            </w:pPr>
            <w:r>
              <w:rPr>
                <w:sz w:val="17"/>
              </w:rPr>
              <w:t>One validated application per user and department.</w:t>
            </w:r>
          </w:p>
        </w:tc>
        <w:tc>
          <w:tcPr>
            <w:tcW w:type="dxa" w:w="3240"/>
            <w:vAlign w:val="center"/>
            <w:tcMar>
              <w:top w:w="120" w:type="dxa"/>
              <w:start w:w="140" w:type="dxa"/>
              <w:bottom w:w="120" w:type="dxa"/>
              <w:end w:w="140" w:type="dxa"/>
            </w:tcMar>
          </w:tcPr>
          <w:p>
            <w:pPr>
              <w:spacing w:after="0"/>
            </w:pPr>
            <w:r>
              <w:rPr>
                <w:sz w:val="17"/>
              </w:rPr>
              <w:t>Deterministic document ID and shortlist status.</w:t>
            </w:r>
          </w:p>
        </w:tc>
      </w:tr>
      <w:tr>
        <w:tc>
          <w:tcPr>
            <w:tcW w:type="dxa" w:w="2088"/>
            <w:vAlign w:val="center"/>
            <w:tcMar>
              <w:top w:w="120" w:type="dxa"/>
              <w:start w:w="140" w:type="dxa"/>
              <w:bottom w:w="120" w:type="dxa"/>
              <w:end w:w="140" w:type="dxa"/>
            </w:tcMar>
            <w:shd w:fill="F2F6FA"/>
          </w:tcPr>
          <w:p>
            <w:pPr>
              <w:spacing w:after="0"/>
            </w:pPr>
            <w:r>
              <w:rPr>
                <w:sz w:val="17"/>
              </w:rPr>
              <w:t>applicationUsers</w:t>
            </w:r>
          </w:p>
        </w:tc>
        <w:tc>
          <w:tcPr>
            <w:tcW w:type="dxa" w:w="3240"/>
            <w:vAlign w:val="center"/>
            <w:tcMar>
              <w:top w:w="120" w:type="dxa"/>
              <w:start w:w="140" w:type="dxa"/>
              <w:bottom w:w="120" w:type="dxa"/>
              <w:end w:w="140" w:type="dxa"/>
            </w:tcMar>
            <w:shd w:fill="F2F6FA"/>
          </w:tcPr>
          <w:p>
            <w:pPr>
              <w:spacing w:after="0"/>
            </w:pPr>
            <w:r>
              <w:rPr>
                <w:sz w:val="17"/>
              </w:rPr>
              <w:t>Per-user department list and count.</w:t>
            </w:r>
          </w:p>
        </w:tc>
        <w:tc>
          <w:tcPr>
            <w:tcW w:type="dxa" w:w="3240"/>
            <w:vAlign w:val="center"/>
            <w:tcMar>
              <w:top w:w="120" w:type="dxa"/>
              <w:start w:w="140" w:type="dxa"/>
              <w:bottom w:w="120" w:type="dxa"/>
              <w:end w:w="140" w:type="dxa"/>
            </w:tcMar>
            <w:shd w:fill="F2F6FA"/>
          </w:tcPr>
          <w:p>
            <w:pPr>
              <w:spacing w:after="0"/>
            </w:pPr>
            <w:r>
              <w:rPr>
                <w:sz w:val="17"/>
              </w:rPr>
              <w:t>Transaction lock that enforces the two-application limit.</w:t>
            </w:r>
          </w:p>
        </w:tc>
      </w:tr>
      <w:tr>
        <w:tc>
          <w:tcPr>
            <w:tcW w:type="dxa" w:w="2088"/>
            <w:vAlign w:val="center"/>
            <w:tcMar>
              <w:top w:w="120" w:type="dxa"/>
              <w:start w:w="140" w:type="dxa"/>
              <w:bottom w:w="120" w:type="dxa"/>
              <w:end w:w="140" w:type="dxa"/>
            </w:tcMar>
          </w:tcPr>
          <w:p>
            <w:pPr>
              <w:spacing w:after="0"/>
            </w:pPr>
            <w:r>
              <w:rPr>
                <w:sz w:val="17"/>
              </w:rPr>
              <w:t>selectedApplicants</w:t>
            </w:r>
          </w:p>
        </w:tc>
        <w:tc>
          <w:tcPr>
            <w:tcW w:type="dxa" w:w="3240"/>
            <w:vAlign w:val="center"/>
            <w:tcMar>
              <w:top w:w="120" w:type="dxa"/>
              <w:start w:w="140" w:type="dxa"/>
              <w:bottom w:w="120" w:type="dxa"/>
              <w:end w:w="140" w:type="dxa"/>
            </w:tcMar>
          </w:tcPr>
          <w:p>
            <w:pPr>
              <w:spacing w:after="0"/>
            </w:pPr>
            <w:r>
              <w:rPr>
                <w:sz w:val="17"/>
              </w:rPr>
              <w:t>Current selected candidate records.</w:t>
            </w:r>
          </w:p>
        </w:tc>
        <w:tc>
          <w:tcPr>
            <w:tcW w:type="dxa" w:w="3240"/>
            <w:vAlign w:val="center"/>
            <w:tcMar>
              <w:top w:w="120" w:type="dxa"/>
              <w:start w:w="140" w:type="dxa"/>
              <w:bottom w:w="120" w:type="dxa"/>
              <w:end w:w="140" w:type="dxa"/>
            </w:tcMar>
          </w:tcPr>
          <w:p>
            <w:pPr>
              <w:spacing w:after="0"/>
            </w:pPr>
            <w:r>
              <w:rPr>
                <w:sz w:val="17"/>
              </w:rPr>
              <w:t>Created or removed with shortlist changes.</w:t>
            </w:r>
          </w:p>
        </w:tc>
      </w:tr>
      <w:tr>
        <w:tc>
          <w:tcPr>
            <w:tcW w:type="dxa" w:w="2088"/>
            <w:vAlign w:val="center"/>
            <w:tcMar>
              <w:top w:w="120" w:type="dxa"/>
              <w:start w:w="140" w:type="dxa"/>
              <w:bottom w:w="120" w:type="dxa"/>
              <w:end w:w="140" w:type="dxa"/>
            </w:tcMar>
            <w:shd w:fill="F2F6FA"/>
          </w:tcPr>
          <w:p>
            <w:pPr>
              <w:spacing w:after="0"/>
            </w:pPr>
            <w:r>
              <w:rPr>
                <w:sz w:val="17"/>
              </w:rPr>
              <w:t>emailQueue</w:t>
            </w:r>
          </w:p>
        </w:tc>
        <w:tc>
          <w:tcPr>
            <w:tcW w:type="dxa" w:w="3240"/>
            <w:vAlign w:val="center"/>
            <w:tcMar>
              <w:top w:w="120" w:type="dxa"/>
              <w:start w:w="140" w:type="dxa"/>
              <w:bottom w:w="120" w:type="dxa"/>
              <w:end w:w="140" w:type="dxa"/>
            </w:tcMar>
            <w:shd w:fill="F2F6FA"/>
          </w:tcPr>
          <w:p>
            <w:pPr>
              <w:spacing w:after="0"/>
            </w:pPr>
            <w:r>
              <w:rPr>
                <w:sz w:val="17"/>
              </w:rPr>
              <w:t>Durable outbound email jobs.</w:t>
            </w:r>
          </w:p>
        </w:tc>
        <w:tc>
          <w:tcPr>
            <w:tcW w:type="dxa" w:w="3240"/>
            <w:vAlign w:val="center"/>
            <w:tcMar>
              <w:top w:w="120" w:type="dxa"/>
              <w:start w:w="140" w:type="dxa"/>
              <w:bottom w:w="120" w:type="dxa"/>
              <w:end w:w="140" w:type="dxa"/>
            </w:tcMar>
            <w:shd w:fill="F2F6FA"/>
          </w:tcPr>
          <w:p>
            <w:pPr>
              <w:spacing w:after="0"/>
            </w:pPr>
            <w:r>
              <w:rPr>
                <w:sz w:val="17"/>
              </w:rPr>
              <w:t>Pending, cancelled, processing, sent, or failed lifecycle.</w:t>
            </w:r>
          </w:p>
        </w:tc>
      </w:tr>
    </w:tbl>
    <w:p/>
    <w:sectPr w:rsidR="00FC693F" w:rsidRPr="0006063C" w:rsidSect="00034616">
      <w:footerReference w:type="default" r:id="rId9"/>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GDG Recruitment Portal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Recruitment Portal Defect Resolution Report</dc:title>
  <dc:subject>Resolved defects and verified project state</dc:subject>
  <dc:creator>GDG Recruitment Portal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