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05EB45" w14:textId="77777777" w:rsidR="00FF3170" w:rsidRPr="00FF3170" w:rsidRDefault="00FF3170" w:rsidP="00FF3170">
      <w:pPr>
        <w:rPr>
          <w:rFonts w:ascii="Times New Roman" w:hAnsi="Times New Roman" w:cs="Times New Roman"/>
        </w:rPr>
      </w:pPr>
    </w:p>
    <w:p w14:paraId="56F8764C" w14:textId="31CD5975" w:rsidR="00F67BEF" w:rsidRDefault="00A71F86" w:rsidP="00F1129B">
      <w:pPr>
        <w:pStyle w:val="Heading4"/>
        <w:keepNext w:val="0"/>
        <w:keepLines w:val="0"/>
        <w:spacing w:before="240" w:after="40"/>
        <w:rPr>
          <w:rFonts w:ascii="Times New Roman" w:hAnsi="Times New Roman" w:cs="Times New Roman"/>
          <w:b/>
          <w:color w:val="000000"/>
          <w:sz w:val="22"/>
          <w:szCs w:val="22"/>
          <w:u w:val="single"/>
        </w:rPr>
      </w:pPr>
      <w:r w:rsidRPr="00F1129B">
        <w:rPr>
          <w:rFonts w:ascii="Times New Roman" w:hAnsi="Times New Roman" w:cs="Times New Roman"/>
          <w:b/>
          <w:color w:val="000000"/>
          <w:sz w:val="22"/>
          <w:szCs w:val="22"/>
          <w:u w:val="single"/>
        </w:rPr>
        <w:t xml:space="preserve"> Data Cleaning/</w:t>
      </w:r>
      <w:proofErr w:type="gramStart"/>
      <w:r w:rsidRPr="00F1129B">
        <w:rPr>
          <w:rFonts w:ascii="Times New Roman" w:hAnsi="Times New Roman" w:cs="Times New Roman"/>
          <w:b/>
          <w:color w:val="000000"/>
          <w:sz w:val="22"/>
          <w:szCs w:val="22"/>
          <w:u w:val="single"/>
        </w:rPr>
        <w:t>Pre</w:t>
      </w:r>
      <w:r w:rsidR="00A510FD" w:rsidRPr="00F1129B">
        <w:rPr>
          <w:rFonts w:ascii="Times New Roman" w:hAnsi="Times New Roman" w:cs="Times New Roman"/>
          <w:b/>
          <w:color w:val="000000"/>
          <w:sz w:val="22"/>
          <w:szCs w:val="22"/>
          <w:u w:val="single"/>
        </w:rPr>
        <w:t xml:space="preserve"> - </w:t>
      </w:r>
      <w:proofErr w:type="gramEnd"/>
      <w:r w:rsidR="00A510FD" w:rsidRPr="00F1129B">
        <w:rPr>
          <w:rFonts w:ascii="Times New Roman" w:hAnsi="Times New Roman" w:cs="Times New Roman"/>
          <w:b/>
          <w:color w:val="000000"/>
          <w:sz w:val="22"/>
          <w:szCs w:val="22"/>
          <w:u w:val="single"/>
        </w:rPr>
        <w:t>p</w:t>
      </w:r>
      <w:r w:rsidRPr="00F1129B">
        <w:rPr>
          <w:rFonts w:ascii="Times New Roman" w:hAnsi="Times New Roman" w:cs="Times New Roman"/>
          <w:b/>
          <w:color w:val="000000"/>
          <w:sz w:val="22"/>
          <w:szCs w:val="22"/>
          <w:u w:val="single"/>
        </w:rPr>
        <w:t>rocessing:</w:t>
      </w:r>
    </w:p>
    <w:p w14:paraId="685C22F7" w14:textId="14E9918C" w:rsidR="00147911" w:rsidRPr="00147911" w:rsidRDefault="00147911" w:rsidP="00147911">
      <w:pPr>
        <w:rPr>
          <w:rFonts w:ascii="Times New Roman" w:hAnsi="Times New Roman" w:cs="Times New Roman"/>
        </w:rPr>
      </w:pPr>
      <w:r w:rsidRPr="00147911">
        <w:rPr>
          <w:rFonts w:ascii="Times New Roman" w:hAnsi="Times New Roman" w:cs="Times New Roman"/>
        </w:rPr>
        <w:t>Raw Data</w:t>
      </w:r>
      <w:r w:rsidR="007F4029">
        <w:rPr>
          <w:rFonts w:ascii="Times New Roman" w:hAnsi="Times New Roman" w:cs="Times New Roman"/>
        </w:rPr>
        <w:t>set(.csv)</w:t>
      </w:r>
    </w:p>
    <w:p w14:paraId="4123C08A" w14:textId="77777777" w:rsidR="00A510FD" w:rsidRPr="00F1129B" w:rsidRDefault="00A510FD" w:rsidP="00A510FD">
      <w:pPr>
        <w:rPr>
          <w:rFonts w:ascii="Times New Roman" w:hAnsi="Times New Roman" w:cs="Times New Roman"/>
        </w:rPr>
      </w:pPr>
    </w:p>
    <w:p w14:paraId="25B221D3" w14:textId="77777777" w:rsidR="003E3ECA" w:rsidRPr="003E3ECA" w:rsidRDefault="003E3ECA" w:rsidP="003E3ECA">
      <w:pPr>
        <w:pStyle w:val="ListParagraph"/>
        <w:ind w:left="284"/>
        <w:rPr>
          <w:rFonts w:ascii="Times New Roman" w:hAnsi="Times New Roman" w:cs="Times New Roman"/>
          <w:lang w:val="en-IN"/>
        </w:rPr>
      </w:pPr>
      <w:r w:rsidRPr="003E3ECA">
        <w:rPr>
          <w:rFonts w:ascii="Times New Roman" w:hAnsi="Times New Roman" w:cs="Times New Roman"/>
          <w:lang w:val="en-IN"/>
        </w:rPr>
        <w:t>To prepare the dataset for analysis in Tableau, several steps were undertaken to ensure consistency, readability, and compatibility:</w:t>
      </w:r>
    </w:p>
    <w:p w14:paraId="3DC865E8" w14:textId="1BDDBBD1" w:rsidR="003E3ECA" w:rsidRPr="003E3ECA" w:rsidRDefault="000B0FFA" w:rsidP="003E3ECA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lang w:val="en-IN"/>
        </w:rPr>
      </w:pPr>
      <w:r w:rsidRPr="000B0FFA">
        <w:rPr>
          <w:rFonts w:ascii="Times New Roman" w:hAnsi="Times New Roman" w:cs="Times New Roman"/>
          <w:b/>
          <w:bCs/>
        </w:rPr>
        <w:t>Removed Text Placeholders</w:t>
      </w:r>
      <w:r w:rsidR="003E3ECA" w:rsidRPr="003E3ECA">
        <w:rPr>
          <w:rFonts w:ascii="Times New Roman" w:hAnsi="Times New Roman" w:cs="Times New Roman"/>
          <w:lang w:val="en-IN"/>
        </w:rPr>
        <w:t xml:space="preserve">: </w:t>
      </w:r>
      <w:r w:rsidRPr="000B0FFA">
        <w:rPr>
          <w:rFonts w:ascii="Times New Roman" w:hAnsi="Times New Roman" w:cs="Times New Roman"/>
        </w:rPr>
        <w:t>(e.g.</w:t>
      </w:r>
      <w:r>
        <w:rPr>
          <w:rFonts w:ascii="Times New Roman" w:hAnsi="Times New Roman" w:cs="Times New Roman"/>
        </w:rPr>
        <w:t xml:space="preserve">: </w:t>
      </w:r>
      <w:r w:rsidR="003E3ECA" w:rsidRPr="003E3ECA">
        <w:rPr>
          <w:rFonts w:ascii="Times New Roman" w:hAnsi="Times New Roman" w:cs="Times New Roman"/>
          <w:lang w:val="en-IN"/>
        </w:rPr>
        <w:t>"The expenditure is under compilation"</w:t>
      </w:r>
      <w:r>
        <w:rPr>
          <w:rFonts w:ascii="Times New Roman" w:hAnsi="Times New Roman" w:cs="Times New Roman"/>
          <w:lang w:val="en-IN"/>
        </w:rPr>
        <w:t>)</w:t>
      </w:r>
      <w:r w:rsidR="003E3ECA" w:rsidRPr="003E3ECA">
        <w:rPr>
          <w:rFonts w:ascii="Times New Roman" w:hAnsi="Times New Roman" w:cs="Times New Roman"/>
          <w:lang w:val="en-IN"/>
        </w:rPr>
        <w:t xml:space="preserve"> </w:t>
      </w:r>
      <w:r w:rsidRPr="000B0FFA">
        <w:rPr>
          <w:rFonts w:ascii="Times New Roman" w:hAnsi="Times New Roman" w:cs="Times New Roman"/>
        </w:rPr>
        <w:t>→ NULLs</w:t>
      </w:r>
    </w:p>
    <w:p w14:paraId="4BFA4F58" w14:textId="0283A3E6" w:rsidR="003E3ECA" w:rsidRDefault="000B0FFA" w:rsidP="003E3ECA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</w:rPr>
        <w:t>S</w:t>
      </w:r>
      <w:r w:rsidRPr="000B0FFA">
        <w:rPr>
          <w:rFonts w:ascii="Times New Roman" w:hAnsi="Times New Roman" w:cs="Times New Roman"/>
          <w:b/>
          <w:bCs/>
        </w:rPr>
        <w:t>tripped Commas &amp; Whitespaces</w:t>
      </w:r>
      <w:r w:rsidRPr="000B0FFA">
        <w:rPr>
          <w:rFonts w:ascii="Times New Roman" w:hAnsi="Times New Roman" w:cs="Times New Roman"/>
        </w:rPr>
        <w:t xml:space="preserve"> → Clean numeric </w:t>
      </w:r>
      <w:r>
        <w:rPr>
          <w:rFonts w:ascii="Times New Roman" w:hAnsi="Times New Roman" w:cs="Times New Roman"/>
        </w:rPr>
        <w:t xml:space="preserve">format </w:t>
      </w:r>
      <w:r w:rsidR="003E3ECA" w:rsidRPr="003E3ECA">
        <w:rPr>
          <w:rFonts w:ascii="Times New Roman" w:hAnsi="Times New Roman" w:cs="Times New Roman"/>
          <w:lang w:val="en-IN"/>
        </w:rPr>
        <w:t>(e.g., 3,199.50)</w:t>
      </w:r>
      <w:r>
        <w:rPr>
          <w:rFonts w:ascii="Times New Roman" w:hAnsi="Times New Roman" w:cs="Times New Roman"/>
          <w:lang w:val="en-IN"/>
        </w:rPr>
        <w:t>.</w:t>
      </w:r>
    </w:p>
    <w:p w14:paraId="4391E412" w14:textId="643FE657" w:rsidR="000B0FFA" w:rsidRPr="003E3ECA" w:rsidRDefault="000B0FFA" w:rsidP="003E3ECA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lang w:val="en-IN"/>
        </w:rPr>
      </w:pPr>
      <w:r w:rsidRPr="000B0FFA">
        <w:rPr>
          <w:rFonts w:ascii="Times New Roman" w:hAnsi="Times New Roman" w:cs="Times New Roman"/>
          <w:b/>
          <w:bCs/>
        </w:rPr>
        <w:t>Converted to Float</w:t>
      </w:r>
      <w:r w:rsidRPr="000B0FFA">
        <w:rPr>
          <w:rFonts w:ascii="Times New Roman" w:hAnsi="Times New Roman" w:cs="Times New Roman"/>
        </w:rPr>
        <w:t xml:space="preserve"> → For aggregation &amp; </w:t>
      </w:r>
      <w:proofErr w:type="gramStart"/>
      <w:r w:rsidRPr="000B0FFA">
        <w:rPr>
          <w:rFonts w:ascii="Times New Roman" w:hAnsi="Times New Roman" w:cs="Times New Roman"/>
        </w:rPr>
        <w:t>computation</w:t>
      </w:r>
      <w:proofErr w:type="gramEnd"/>
    </w:p>
    <w:p w14:paraId="699001CD" w14:textId="32253896" w:rsidR="000B0FFA" w:rsidRPr="000B0FFA" w:rsidRDefault="000B0FFA" w:rsidP="003E3ECA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lang w:val="en-IN"/>
        </w:rPr>
      </w:pPr>
      <w:r w:rsidRPr="000B0FFA">
        <w:rPr>
          <w:rFonts w:ascii="Times New Roman" w:hAnsi="Times New Roman" w:cs="Times New Roman"/>
          <w:b/>
          <w:bCs/>
        </w:rPr>
        <w:t>Handled NULLs</w:t>
      </w:r>
      <w:r w:rsidRPr="000B0FFA">
        <w:rPr>
          <w:rFonts w:ascii="Times New Roman" w:hAnsi="Times New Roman" w:cs="Times New Roman"/>
        </w:rPr>
        <w:t xml:space="preserve"> via Tableau tools (e.g., ZN, filters)</w:t>
      </w:r>
    </w:p>
    <w:p w14:paraId="28CE58E9" w14:textId="51B1B0EE" w:rsidR="000B0FFA" w:rsidRPr="000B0FFA" w:rsidRDefault="000B0FFA" w:rsidP="003E3ECA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lang w:val="en-IN"/>
        </w:rPr>
      </w:pPr>
      <w:r w:rsidRPr="000B0FFA">
        <w:rPr>
          <w:rFonts w:ascii="Times New Roman" w:hAnsi="Times New Roman" w:cs="Times New Roman"/>
          <w:b/>
          <w:bCs/>
        </w:rPr>
        <w:t>Automated with Macro</w:t>
      </w:r>
      <w:r w:rsidRPr="000B0FFA">
        <w:rPr>
          <w:rFonts w:ascii="Times New Roman" w:hAnsi="Times New Roman" w:cs="Times New Roman"/>
        </w:rPr>
        <w:t xml:space="preserve"> for batch cleaning of financial columns</w:t>
      </w:r>
    </w:p>
    <w:p w14:paraId="56F87663" w14:textId="683991FA" w:rsidR="00F67BEF" w:rsidRPr="00F1129B" w:rsidRDefault="00A71F86">
      <w:pPr>
        <w:rPr>
          <w:rFonts w:ascii="Times New Roman" w:hAnsi="Times New Roman" w:cs="Times New Roman"/>
        </w:rPr>
      </w:pPr>
      <w:r w:rsidRPr="00F1129B">
        <w:rPr>
          <w:rFonts w:ascii="Times New Roman" w:hAnsi="Times New Roman" w:cs="Times New Roman"/>
        </w:rPr>
        <w:t xml:space="preserve">    </w:t>
      </w:r>
      <w:r w:rsidR="00F1129B" w:rsidRPr="00F1129B">
        <w:rPr>
          <w:rFonts w:ascii="Times New Roman" w:hAnsi="Times New Roman" w:cs="Times New Roman"/>
          <w:noProof/>
          <w:color w:val="351C75"/>
        </w:rPr>
        <w:drawing>
          <wp:inline distT="0" distB="0" distL="0" distR="0" wp14:anchorId="03A224ED" wp14:editId="53F45964">
            <wp:extent cx="5549900" cy="3130550"/>
            <wp:effectExtent l="0" t="0" r="0" b="0"/>
            <wp:docPr id="1175061338" name="Picture 1" descr="A white background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61338" name="Picture 1" descr="A white background with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6595" cy="31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A26B" w14:textId="77777777" w:rsidR="00F1129B" w:rsidRPr="00F1129B" w:rsidRDefault="00F1129B">
      <w:pPr>
        <w:rPr>
          <w:rFonts w:ascii="Times New Roman" w:hAnsi="Times New Roman" w:cs="Times New Roman"/>
        </w:rPr>
      </w:pPr>
    </w:p>
    <w:p w14:paraId="387949EB" w14:textId="02D00A71" w:rsidR="00F1129B" w:rsidRPr="00F1129B" w:rsidRDefault="007F40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Clean Dataset(.</w:t>
      </w:r>
      <w:proofErr w:type="spellStart"/>
      <w:r>
        <w:rPr>
          <w:rFonts w:ascii="Times New Roman" w:hAnsi="Times New Roman" w:cs="Times New Roman"/>
        </w:rPr>
        <w:t>xlsm</w:t>
      </w:r>
      <w:proofErr w:type="spellEnd"/>
      <w:r>
        <w:rPr>
          <w:rFonts w:ascii="Times New Roman" w:hAnsi="Times New Roman" w:cs="Times New Roman"/>
        </w:rPr>
        <w:t>)</w:t>
      </w:r>
      <w:r w:rsidR="00D63FED" w:rsidRPr="00F1129B">
        <w:rPr>
          <w:rFonts w:ascii="Times New Roman" w:hAnsi="Times New Roman" w:cs="Times New Roman"/>
        </w:rPr>
        <w:t xml:space="preserve"> </w:t>
      </w:r>
    </w:p>
    <w:p w14:paraId="0420E273" w14:textId="77777777" w:rsidR="00147911" w:rsidRDefault="00147911" w:rsidP="00147911">
      <w:pPr>
        <w:pStyle w:val="Heading2"/>
        <w:keepNext w:val="0"/>
        <w:keepLines w:val="0"/>
        <w:spacing w:before="200" w:after="200" w:line="240" w:lineRule="auto"/>
        <w:ind w:left="360"/>
        <w:rPr>
          <w:rFonts w:ascii="Times New Roman" w:hAnsi="Times New Roman" w:cs="Times New Roman"/>
          <w:b/>
          <w:sz w:val="22"/>
          <w:szCs w:val="22"/>
        </w:rPr>
      </w:pPr>
      <w:bookmarkStart w:id="0" w:name="_nwoqpytge78x" w:colFirst="0" w:colLast="0"/>
      <w:bookmarkStart w:id="1" w:name="_13vnwvmqv0h3" w:colFirst="0" w:colLast="0"/>
      <w:bookmarkEnd w:id="0"/>
      <w:bookmarkEnd w:id="1"/>
    </w:p>
    <w:p w14:paraId="44517CEA" w14:textId="77777777" w:rsidR="007F4029" w:rsidRDefault="007F4029" w:rsidP="00147911">
      <w:pPr>
        <w:pStyle w:val="Heading2"/>
        <w:keepNext w:val="0"/>
        <w:keepLines w:val="0"/>
        <w:spacing w:before="200" w:after="200" w:line="240" w:lineRule="auto"/>
        <w:ind w:left="360"/>
        <w:rPr>
          <w:rFonts w:ascii="Times New Roman" w:hAnsi="Times New Roman" w:cs="Times New Roman"/>
          <w:b/>
          <w:sz w:val="22"/>
          <w:szCs w:val="22"/>
        </w:rPr>
      </w:pPr>
    </w:p>
    <w:p w14:paraId="4D5303CC" w14:textId="1FC7854C" w:rsidR="009D1223" w:rsidRPr="00F1129B" w:rsidRDefault="00ED3E8D" w:rsidP="007F4029">
      <w:pPr>
        <w:pStyle w:val="Heading2"/>
        <w:keepNext w:val="0"/>
        <w:keepLines w:val="0"/>
        <w:spacing w:before="200" w:after="200" w:line="240" w:lineRule="auto"/>
        <w:rPr>
          <w:rFonts w:ascii="Times New Roman" w:hAnsi="Times New Roman" w:cs="Times New Roman"/>
          <w:b/>
          <w:sz w:val="22"/>
          <w:szCs w:val="22"/>
        </w:rPr>
      </w:pPr>
      <w:r w:rsidRPr="00F1129B">
        <w:rPr>
          <w:rFonts w:ascii="Times New Roman" w:hAnsi="Times New Roman" w:cs="Times New Roman"/>
          <w:b/>
          <w:sz w:val="22"/>
          <w:szCs w:val="22"/>
        </w:rPr>
        <w:t>Objectives:</w:t>
      </w:r>
    </w:p>
    <w:p w14:paraId="56F8768C" w14:textId="3F6CD5CE" w:rsidR="00F67BEF" w:rsidRPr="00F1129B" w:rsidRDefault="00A71F86">
      <w:pPr>
        <w:pStyle w:val="Heading2"/>
        <w:keepNext w:val="0"/>
        <w:keepLines w:val="0"/>
        <w:spacing w:before="200" w:after="200" w:line="240" w:lineRule="auto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  <w:r w:rsidRPr="00F1129B">
        <w:rPr>
          <w:rFonts w:ascii="Times New Roman" w:hAnsi="Times New Roman" w:cs="Times New Roman"/>
          <w:b/>
          <w:color w:val="000000" w:themeColor="text1"/>
          <w:sz w:val="22"/>
          <w:szCs w:val="22"/>
        </w:rPr>
        <w:t>1. KNOW YOUR AUDIENCE</w:t>
      </w:r>
    </w:p>
    <w:p w14:paraId="5C083D98" w14:textId="44583135" w:rsidR="007475B7" w:rsidRPr="00F1129B" w:rsidRDefault="00A71F86" w:rsidP="007475B7">
      <w:pPr>
        <w:pStyle w:val="Heading3"/>
        <w:keepNext w:val="0"/>
        <w:keepLines w:val="0"/>
        <w:spacing w:before="200" w:after="200" w:line="240" w:lineRule="auto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  <w:bookmarkStart w:id="2" w:name="_u2wr675ormca" w:colFirst="0" w:colLast="0"/>
      <w:bookmarkEnd w:id="2"/>
      <w:r w:rsidRPr="00F1129B">
        <w:rPr>
          <w:rFonts w:ascii="Times New Roman" w:hAnsi="Times New Roman" w:cs="Times New Roman"/>
          <w:b/>
          <w:color w:val="000000" w:themeColor="text1"/>
          <w:sz w:val="22"/>
          <w:szCs w:val="22"/>
        </w:rPr>
        <w:t xml:space="preserve">a. </w:t>
      </w:r>
      <w:r w:rsidR="007475B7" w:rsidRPr="00F1129B">
        <w:rPr>
          <w:rFonts w:ascii="Times New Roman" w:hAnsi="Times New Roman" w:cs="Times New Roman"/>
          <w:b/>
          <w:color w:val="000000" w:themeColor="text1"/>
          <w:sz w:val="22"/>
          <w:szCs w:val="22"/>
        </w:rPr>
        <w:t>List the primary groups or individuals to whom you’ll be communicating</w:t>
      </w:r>
      <w:r w:rsidR="00AD77D7" w:rsidRPr="00F1129B">
        <w:rPr>
          <w:rFonts w:ascii="Times New Roman" w:hAnsi="Times New Roman" w:cs="Times New Roman"/>
          <w:b/>
          <w:color w:val="000000" w:themeColor="text1"/>
          <w:sz w:val="22"/>
          <w:szCs w:val="22"/>
        </w:rPr>
        <w:t>.</w:t>
      </w:r>
    </w:p>
    <w:p w14:paraId="56F8768E" w14:textId="626B5CB1" w:rsidR="00F67BEF" w:rsidRPr="00F1129B" w:rsidRDefault="00A71F86" w:rsidP="007475B7">
      <w:pPr>
        <w:pStyle w:val="Heading3"/>
        <w:keepNext w:val="0"/>
        <w:keepLines w:val="0"/>
        <w:numPr>
          <w:ilvl w:val="0"/>
          <w:numId w:val="21"/>
        </w:numPr>
        <w:spacing w:before="200" w:after="200" w:line="240" w:lineRule="auto"/>
        <w:rPr>
          <w:rFonts w:ascii="Times New Roman" w:hAnsi="Times New Roman" w:cs="Times New Roman"/>
          <w:bCs/>
          <w:color w:val="000000" w:themeColor="text1"/>
          <w:sz w:val="22"/>
          <w:szCs w:val="22"/>
        </w:rPr>
      </w:pPr>
      <w:r w:rsidRPr="00F1129B">
        <w:rPr>
          <w:rFonts w:ascii="Times New Roman" w:hAnsi="Times New Roman" w:cs="Times New Roman"/>
          <w:bCs/>
          <w:color w:val="000000" w:themeColor="text1"/>
          <w:sz w:val="22"/>
          <w:szCs w:val="22"/>
        </w:rPr>
        <w:t>Deputy Secretary, Department of Agricultural Research and Education</w:t>
      </w:r>
    </w:p>
    <w:p w14:paraId="56F8768F" w14:textId="77777777" w:rsidR="00F67BEF" w:rsidRPr="00F1129B" w:rsidRDefault="00A71F86">
      <w:pPr>
        <w:numPr>
          <w:ilvl w:val="0"/>
          <w:numId w:val="9"/>
        </w:numPr>
        <w:spacing w:before="200" w:after="200" w:line="240" w:lineRule="auto"/>
        <w:rPr>
          <w:rFonts w:ascii="Times New Roman" w:hAnsi="Times New Roman" w:cs="Times New Roman"/>
          <w:bCs/>
          <w:color w:val="000000" w:themeColor="text1"/>
        </w:rPr>
      </w:pPr>
      <w:r w:rsidRPr="00F1129B">
        <w:rPr>
          <w:rFonts w:ascii="Times New Roman" w:hAnsi="Times New Roman" w:cs="Times New Roman"/>
          <w:bCs/>
          <w:color w:val="000000" w:themeColor="text1"/>
        </w:rPr>
        <w:t>Policy advisors and senior officers in the Ministry of Agriculture</w:t>
      </w:r>
    </w:p>
    <w:p w14:paraId="56F87690" w14:textId="77777777" w:rsidR="00F67BEF" w:rsidRPr="00F1129B" w:rsidRDefault="00A71F86">
      <w:pPr>
        <w:numPr>
          <w:ilvl w:val="0"/>
          <w:numId w:val="9"/>
        </w:numPr>
        <w:spacing w:before="200" w:after="200" w:line="240" w:lineRule="auto"/>
        <w:rPr>
          <w:rFonts w:ascii="Times New Roman" w:hAnsi="Times New Roman" w:cs="Times New Roman"/>
          <w:bCs/>
          <w:color w:val="000000" w:themeColor="text1"/>
        </w:rPr>
      </w:pPr>
      <w:r w:rsidRPr="00F1129B">
        <w:rPr>
          <w:rFonts w:ascii="Times New Roman" w:hAnsi="Times New Roman" w:cs="Times New Roman"/>
          <w:bCs/>
          <w:color w:val="000000" w:themeColor="text1"/>
        </w:rPr>
        <w:t>State-level funding coordinators and agricultural education boards</w:t>
      </w:r>
    </w:p>
    <w:p w14:paraId="7E2F5894" w14:textId="6779124D" w:rsidR="002275B3" w:rsidRPr="00F1129B" w:rsidRDefault="00A71F86" w:rsidP="00F1129B">
      <w:pPr>
        <w:numPr>
          <w:ilvl w:val="0"/>
          <w:numId w:val="9"/>
        </w:numPr>
        <w:spacing w:before="200" w:after="200" w:line="240" w:lineRule="auto"/>
        <w:rPr>
          <w:rFonts w:ascii="Times New Roman" w:hAnsi="Times New Roman" w:cs="Times New Roman"/>
          <w:color w:val="000000" w:themeColor="text1"/>
        </w:rPr>
      </w:pPr>
      <w:r w:rsidRPr="00F1129B">
        <w:rPr>
          <w:rFonts w:ascii="Times New Roman" w:hAnsi="Times New Roman" w:cs="Times New Roman"/>
          <w:bCs/>
          <w:color w:val="000000" w:themeColor="text1"/>
        </w:rPr>
        <w:lastRenderedPageBreak/>
        <w:t>Research grant approval committees and ICAR decision-makers</w:t>
      </w:r>
    </w:p>
    <w:p w14:paraId="6EDF3E7E" w14:textId="77777777" w:rsidR="00F1129B" w:rsidRPr="00F1129B" w:rsidRDefault="00F1129B" w:rsidP="00F1129B">
      <w:pPr>
        <w:spacing w:before="200" w:after="200" w:line="240" w:lineRule="auto"/>
        <w:ind w:left="720"/>
        <w:rPr>
          <w:rFonts w:ascii="Times New Roman" w:hAnsi="Times New Roman" w:cs="Times New Roman"/>
          <w:color w:val="000000" w:themeColor="text1"/>
        </w:rPr>
      </w:pPr>
    </w:p>
    <w:p w14:paraId="56F87692" w14:textId="7392EFE9" w:rsidR="00F67BEF" w:rsidRPr="00F1129B" w:rsidRDefault="00A71F86">
      <w:pPr>
        <w:pStyle w:val="Heading3"/>
        <w:keepNext w:val="0"/>
        <w:keepLines w:val="0"/>
        <w:spacing w:before="200" w:after="200" w:line="240" w:lineRule="auto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  <w:bookmarkStart w:id="3" w:name="_lyeulbip3r7g" w:colFirst="0" w:colLast="0"/>
      <w:bookmarkEnd w:id="3"/>
      <w:r w:rsidRPr="00F1129B">
        <w:rPr>
          <w:rFonts w:ascii="Times New Roman" w:hAnsi="Times New Roman" w:cs="Times New Roman"/>
          <w:b/>
          <w:color w:val="000000" w:themeColor="text1"/>
          <w:sz w:val="22"/>
          <w:szCs w:val="22"/>
        </w:rPr>
        <w:t xml:space="preserve">b. </w:t>
      </w:r>
      <w:r w:rsidR="00CB771C" w:rsidRPr="00F1129B">
        <w:rPr>
          <w:rFonts w:ascii="Times New Roman" w:hAnsi="Times New Roman" w:cs="Times New Roman"/>
          <w:b/>
          <w:color w:val="000000" w:themeColor="text1"/>
          <w:sz w:val="22"/>
          <w:szCs w:val="22"/>
        </w:rPr>
        <w:t>If you had to narrow that to a single person, who would that be?</w:t>
      </w:r>
    </w:p>
    <w:p w14:paraId="5ED9B611" w14:textId="2B395D96" w:rsidR="002275B3" w:rsidRDefault="00B36ABB">
      <w:pPr>
        <w:spacing w:before="200" w:after="200" w:line="240" w:lineRule="auto"/>
        <w:rPr>
          <w:rFonts w:ascii="Times New Roman" w:hAnsi="Times New Roman" w:cs="Times New Roman"/>
          <w:color w:val="000000" w:themeColor="text1"/>
        </w:rPr>
      </w:pPr>
      <w:r w:rsidRPr="00B36ABB">
        <w:rPr>
          <w:rFonts w:ascii="Times New Roman" w:hAnsi="Times New Roman" w:cs="Times New Roman"/>
          <w:b/>
          <w:bCs/>
          <w:color w:val="000000" w:themeColor="text1"/>
        </w:rPr>
        <w:t>Primary Audience</w:t>
      </w:r>
      <w:r w:rsidRPr="00B36ABB">
        <w:rPr>
          <w:rFonts w:ascii="Times New Roman" w:hAnsi="Times New Roman" w:cs="Times New Roman"/>
          <w:color w:val="000000" w:themeColor="text1"/>
        </w:rPr>
        <w:t>: Deputy Secretary, Dept. of Agricultural Research &amp; Education</w:t>
      </w:r>
      <w:r>
        <w:rPr>
          <w:rFonts w:ascii="Times New Roman" w:hAnsi="Times New Roman" w:cs="Times New Roman"/>
          <w:color w:val="000000" w:themeColor="text1"/>
        </w:rPr>
        <w:t>. (</w:t>
      </w:r>
      <w:r w:rsidR="00A71F86" w:rsidRPr="00F1129B">
        <w:rPr>
          <w:rFonts w:ascii="Times New Roman" w:hAnsi="Times New Roman" w:cs="Times New Roman"/>
          <w:color w:val="000000" w:themeColor="text1"/>
        </w:rPr>
        <w:t>This person is the main decision-maker and influencer regarding funding, research policies, and institutional development</w:t>
      </w:r>
      <w:r>
        <w:rPr>
          <w:rFonts w:ascii="Times New Roman" w:hAnsi="Times New Roman" w:cs="Times New Roman"/>
          <w:color w:val="000000" w:themeColor="text1"/>
        </w:rPr>
        <w:t>)</w:t>
      </w:r>
      <w:r w:rsidR="00A71F86" w:rsidRPr="00F1129B">
        <w:rPr>
          <w:rFonts w:ascii="Times New Roman" w:hAnsi="Times New Roman" w:cs="Times New Roman"/>
          <w:color w:val="000000" w:themeColor="text1"/>
        </w:rPr>
        <w:t>.</w:t>
      </w:r>
    </w:p>
    <w:p w14:paraId="21A46B88" w14:textId="77777777" w:rsidR="00F1129B" w:rsidRPr="00F1129B" w:rsidRDefault="00F1129B">
      <w:pPr>
        <w:spacing w:before="200" w:after="200" w:line="240" w:lineRule="auto"/>
        <w:rPr>
          <w:rFonts w:ascii="Times New Roman" w:hAnsi="Times New Roman" w:cs="Times New Roman"/>
          <w:color w:val="000000" w:themeColor="text1"/>
        </w:rPr>
      </w:pPr>
    </w:p>
    <w:p w14:paraId="56F87694" w14:textId="5167A494" w:rsidR="00F67BEF" w:rsidRPr="00F1129B" w:rsidRDefault="00A71F86">
      <w:pPr>
        <w:pStyle w:val="Heading3"/>
        <w:keepNext w:val="0"/>
        <w:keepLines w:val="0"/>
        <w:spacing w:before="200" w:after="200" w:line="240" w:lineRule="auto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  <w:bookmarkStart w:id="4" w:name="_x8c8d3wxfoqh" w:colFirst="0" w:colLast="0"/>
      <w:bookmarkEnd w:id="4"/>
      <w:r w:rsidRPr="00F1129B">
        <w:rPr>
          <w:rFonts w:ascii="Times New Roman" w:hAnsi="Times New Roman" w:cs="Times New Roman"/>
          <w:b/>
          <w:color w:val="000000" w:themeColor="text1"/>
          <w:sz w:val="22"/>
          <w:szCs w:val="22"/>
        </w:rPr>
        <w:t xml:space="preserve">c. </w:t>
      </w:r>
      <w:r w:rsidR="001D1617" w:rsidRPr="00F1129B">
        <w:rPr>
          <w:rFonts w:ascii="Times New Roman" w:hAnsi="Times New Roman" w:cs="Times New Roman"/>
          <w:b/>
          <w:color w:val="000000" w:themeColor="text1"/>
          <w:sz w:val="22"/>
          <w:szCs w:val="22"/>
        </w:rPr>
        <w:t>What does your audience care about?</w:t>
      </w:r>
    </w:p>
    <w:p w14:paraId="56F87695" w14:textId="77777777" w:rsidR="00F67BEF" w:rsidRPr="00F1129B" w:rsidRDefault="00A71F86">
      <w:pPr>
        <w:spacing w:before="200" w:after="200" w:line="240" w:lineRule="auto"/>
        <w:rPr>
          <w:rFonts w:ascii="Times New Roman" w:hAnsi="Times New Roman" w:cs="Times New Roman"/>
          <w:color w:val="000000" w:themeColor="text1"/>
        </w:rPr>
      </w:pPr>
      <w:r w:rsidRPr="00F1129B">
        <w:rPr>
          <w:rFonts w:ascii="Times New Roman" w:hAnsi="Times New Roman" w:cs="Times New Roman"/>
          <w:color w:val="000000" w:themeColor="text1"/>
        </w:rPr>
        <w:t>The Deputy Secretary is primarily interested in:</w:t>
      </w:r>
    </w:p>
    <w:p w14:paraId="42A559F9" w14:textId="14D47B39" w:rsidR="00B36ABB" w:rsidRPr="00B36ABB" w:rsidRDefault="00B36ABB" w:rsidP="00B36ABB">
      <w:pPr>
        <w:pStyle w:val="ListParagraph"/>
        <w:numPr>
          <w:ilvl w:val="0"/>
          <w:numId w:val="21"/>
        </w:numPr>
        <w:spacing w:before="200" w:after="200" w:line="240" w:lineRule="auto"/>
        <w:rPr>
          <w:rFonts w:ascii="Times New Roman" w:hAnsi="Times New Roman" w:cs="Times New Roman"/>
          <w:color w:val="000000" w:themeColor="text1"/>
          <w:lang w:val="en-IN"/>
        </w:rPr>
      </w:pPr>
      <w:r w:rsidRPr="00B36ABB">
        <w:rPr>
          <w:rFonts w:ascii="Times New Roman" w:hAnsi="Times New Roman" w:cs="Times New Roman"/>
          <w:color w:val="000000" w:themeColor="text1"/>
          <w:lang w:val="en-IN"/>
        </w:rPr>
        <w:t>Fund utilization efficiency</w:t>
      </w:r>
    </w:p>
    <w:p w14:paraId="5C798FC7" w14:textId="37896F92" w:rsidR="00B36ABB" w:rsidRPr="00B36ABB" w:rsidRDefault="00B36ABB" w:rsidP="00B36ABB">
      <w:pPr>
        <w:pStyle w:val="ListParagraph"/>
        <w:numPr>
          <w:ilvl w:val="0"/>
          <w:numId w:val="21"/>
        </w:numPr>
        <w:spacing w:before="200" w:after="200" w:line="240" w:lineRule="auto"/>
        <w:rPr>
          <w:rFonts w:ascii="Times New Roman" w:hAnsi="Times New Roman" w:cs="Times New Roman"/>
          <w:color w:val="000000" w:themeColor="text1"/>
          <w:lang w:val="en-IN"/>
        </w:rPr>
      </w:pPr>
      <w:r w:rsidRPr="00B36ABB">
        <w:rPr>
          <w:rFonts w:ascii="Times New Roman" w:hAnsi="Times New Roman" w:cs="Times New Roman"/>
          <w:color w:val="000000" w:themeColor="text1"/>
          <w:lang w:val="en-IN"/>
        </w:rPr>
        <w:t>Regional equity in allocation</w:t>
      </w:r>
    </w:p>
    <w:p w14:paraId="3E8DBBD4" w14:textId="262999B1" w:rsidR="00B36ABB" w:rsidRPr="00B36ABB" w:rsidRDefault="00B36ABB" w:rsidP="00B36ABB">
      <w:pPr>
        <w:pStyle w:val="ListParagraph"/>
        <w:numPr>
          <w:ilvl w:val="0"/>
          <w:numId w:val="21"/>
        </w:numPr>
        <w:spacing w:before="200" w:after="200" w:line="240" w:lineRule="auto"/>
        <w:rPr>
          <w:rFonts w:ascii="Times New Roman" w:hAnsi="Times New Roman" w:cs="Times New Roman"/>
          <w:color w:val="000000" w:themeColor="text1"/>
          <w:lang w:val="en-IN"/>
        </w:rPr>
      </w:pPr>
      <w:r w:rsidRPr="00B36ABB">
        <w:rPr>
          <w:rFonts w:ascii="Times New Roman" w:hAnsi="Times New Roman" w:cs="Times New Roman"/>
          <w:color w:val="000000" w:themeColor="text1"/>
          <w:lang w:val="en-IN"/>
        </w:rPr>
        <w:t>Trends in source-wise contribution</w:t>
      </w:r>
    </w:p>
    <w:p w14:paraId="056986ED" w14:textId="77777777" w:rsidR="00F1129B" w:rsidRPr="00F1129B" w:rsidRDefault="00F1129B" w:rsidP="00F1129B">
      <w:pPr>
        <w:spacing w:before="200" w:after="200" w:line="240" w:lineRule="auto"/>
        <w:ind w:left="720"/>
        <w:rPr>
          <w:rFonts w:ascii="Times New Roman" w:hAnsi="Times New Roman" w:cs="Times New Roman"/>
          <w:color w:val="000000" w:themeColor="text1"/>
        </w:rPr>
      </w:pPr>
    </w:p>
    <w:p w14:paraId="56F8769A" w14:textId="4F3E19AE" w:rsidR="00F67BEF" w:rsidRPr="00F1129B" w:rsidRDefault="00A71F86">
      <w:pPr>
        <w:pStyle w:val="Heading3"/>
        <w:keepNext w:val="0"/>
        <w:keepLines w:val="0"/>
        <w:spacing w:before="200" w:after="200" w:line="240" w:lineRule="auto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  <w:bookmarkStart w:id="5" w:name="_bpozw2ic6tn0" w:colFirst="0" w:colLast="0"/>
      <w:bookmarkEnd w:id="5"/>
      <w:r w:rsidRPr="00F1129B">
        <w:rPr>
          <w:rFonts w:ascii="Times New Roman" w:hAnsi="Times New Roman" w:cs="Times New Roman"/>
          <w:b/>
          <w:color w:val="000000" w:themeColor="text1"/>
          <w:sz w:val="22"/>
          <w:szCs w:val="22"/>
        </w:rPr>
        <w:t xml:space="preserve">d. </w:t>
      </w:r>
      <w:r w:rsidR="009839C7" w:rsidRPr="00F1129B">
        <w:rPr>
          <w:rFonts w:ascii="Times New Roman" w:hAnsi="Times New Roman" w:cs="Times New Roman"/>
          <w:b/>
          <w:color w:val="000000" w:themeColor="text1"/>
          <w:sz w:val="22"/>
          <w:szCs w:val="22"/>
        </w:rPr>
        <w:t>What action does your audience need to take?</w:t>
      </w:r>
    </w:p>
    <w:p w14:paraId="56F8769B" w14:textId="77777777" w:rsidR="00F67BEF" w:rsidRPr="00F1129B" w:rsidRDefault="00A71F86">
      <w:pPr>
        <w:spacing w:before="200" w:after="200" w:line="240" w:lineRule="auto"/>
        <w:rPr>
          <w:rFonts w:ascii="Times New Roman" w:hAnsi="Times New Roman" w:cs="Times New Roman"/>
          <w:color w:val="000000" w:themeColor="text1"/>
        </w:rPr>
      </w:pPr>
      <w:r w:rsidRPr="00F1129B">
        <w:rPr>
          <w:rFonts w:ascii="Times New Roman" w:hAnsi="Times New Roman" w:cs="Times New Roman"/>
          <w:color w:val="000000" w:themeColor="text1"/>
        </w:rPr>
        <w:t>They need to:</w:t>
      </w:r>
    </w:p>
    <w:p w14:paraId="318D1755" w14:textId="3AE8B979" w:rsidR="00B36ABB" w:rsidRPr="00B36ABB" w:rsidRDefault="00B36ABB" w:rsidP="00B36ABB">
      <w:pPr>
        <w:pStyle w:val="ListParagraph"/>
        <w:numPr>
          <w:ilvl w:val="0"/>
          <w:numId w:val="21"/>
        </w:numPr>
        <w:spacing w:before="200" w:after="200" w:line="240" w:lineRule="auto"/>
        <w:rPr>
          <w:rFonts w:ascii="Times New Roman" w:hAnsi="Times New Roman" w:cs="Times New Roman"/>
          <w:color w:val="000000" w:themeColor="text1"/>
          <w:lang w:val="en-IN"/>
        </w:rPr>
      </w:pPr>
      <w:r w:rsidRPr="00B36ABB">
        <w:rPr>
          <w:rFonts w:ascii="Times New Roman" w:hAnsi="Times New Roman" w:cs="Times New Roman"/>
          <w:color w:val="000000" w:themeColor="text1"/>
          <w:lang w:val="en-IN"/>
        </w:rPr>
        <w:t>Design performance-based policies</w:t>
      </w:r>
    </w:p>
    <w:p w14:paraId="0CC4F804" w14:textId="1247A8C7" w:rsidR="00B36ABB" w:rsidRPr="00B36ABB" w:rsidRDefault="00B36ABB" w:rsidP="00B36ABB">
      <w:pPr>
        <w:pStyle w:val="ListParagraph"/>
        <w:numPr>
          <w:ilvl w:val="0"/>
          <w:numId w:val="21"/>
        </w:numPr>
        <w:spacing w:before="200" w:after="200" w:line="240" w:lineRule="auto"/>
        <w:rPr>
          <w:rFonts w:ascii="Times New Roman" w:hAnsi="Times New Roman" w:cs="Times New Roman"/>
          <w:color w:val="000000" w:themeColor="text1"/>
          <w:lang w:val="en-IN"/>
        </w:rPr>
      </w:pPr>
      <w:r w:rsidRPr="00B36ABB">
        <w:rPr>
          <w:rFonts w:ascii="Times New Roman" w:hAnsi="Times New Roman" w:cs="Times New Roman"/>
          <w:color w:val="000000" w:themeColor="text1"/>
          <w:lang w:val="en-IN"/>
        </w:rPr>
        <w:t>Rebalance funding strategies</w:t>
      </w:r>
    </w:p>
    <w:p w14:paraId="7B6B66A6" w14:textId="5D15F71D" w:rsidR="00B36ABB" w:rsidRPr="00B36ABB" w:rsidRDefault="00B36ABB" w:rsidP="00B36ABB">
      <w:pPr>
        <w:pStyle w:val="ListParagraph"/>
        <w:numPr>
          <w:ilvl w:val="0"/>
          <w:numId w:val="21"/>
        </w:numPr>
        <w:spacing w:before="200" w:after="200" w:line="240" w:lineRule="auto"/>
        <w:rPr>
          <w:rFonts w:ascii="Times New Roman" w:hAnsi="Times New Roman" w:cs="Times New Roman"/>
          <w:color w:val="000000" w:themeColor="text1"/>
          <w:lang w:val="en-IN"/>
        </w:rPr>
      </w:pPr>
      <w:r w:rsidRPr="00B36ABB">
        <w:rPr>
          <w:rFonts w:ascii="Times New Roman" w:hAnsi="Times New Roman" w:cs="Times New Roman"/>
          <w:color w:val="000000" w:themeColor="text1"/>
          <w:lang w:val="en-IN"/>
        </w:rPr>
        <w:t>Address underutilization &amp; fund concentration</w:t>
      </w:r>
    </w:p>
    <w:p w14:paraId="56F8769E" w14:textId="750C3BA9" w:rsidR="00F67BEF" w:rsidRPr="00F1129B" w:rsidRDefault="00F67BEF" w:rsidP="00CB344E">
      <w:pPr>
        <w:spacing w:before="200" w:after="200" w:line="240" w:lineRule="auto"/>
        <w:ind w:left="720"/>
        <w:rPr>
          <w:rFonts w:ascii="Times New Roman" w:hAnsi="Times New Roman" w:cs="Times New Roman"/>
          <w:color w:val="000000" w:themeColor="text1"/>
        </w:rPr>
      </w:pPr>
    </w:p>
    <w:p w14:paraId="56F8769F" w14:textId="2F0D6328" w:rsidR="00F67BEF" w:rsidRDefault="00A71F86">
      <w:pPr>
        <w:pStyle w:val="Heading3"/>
        <w:keepNext w:val="0"/>
        <w:keepLines w:val="0"/>
        <w:spacing w:before="200" w:after="200" w:line="240" w:lineRule="auto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  <w:bookmarkStart w:id="6" w:name="_57e1s8nnj631" w:colFirst="0" w:colLast="0"/>
      <w:bookmarkEnd w:id="6"/>
      <w:r w:rsidRPr="00F1129B">
        <w:rPr>
          <w:rFonts w:ascii="Times New Roman" w:hAnsi="Times New Roman" w:cs="Times New Roman"/>
          <w:b/>
          <w:color w:val="000000" w:themeColor="text1"/>
          <w:sz w:val="22"/>
          <w:szCs w:val="22"/>
        </w:rPr>
        <w:t xml:space="preserve">e. </w:t>
      </w:r>
      <w:r w:rsidR="00AA6DD7" w:rsidRPr="00F1129B">
        <w:rPr>
          <w:rFonts w:ascii="Times New Roman" w:hAnsi="Times New Roman" w:cs="Times New Roman"/>
          <w:b/>
          <w:color w:val="000000" w:themeColor="text1"/>
          <w:sz w:val="22"/>
          <w:szCs w:val="22"/>
        </w:rPr>
        <w:t xml:space="preserve">What is at stake? What is the benefit if the audience acts in the way you want them to? </w:t>
      </w:r>
      <w:r w:rsidR="0053682F" w:rsidRPr="00F1129B">
        <w:rPr>
          <w:rFonts w:ascii="Times New Roman" w:hAnsi="Times New Roman" w:cs="Times New Roman"/>
          <w:b/>
          <w:color w:val="000000" w:themeColor="text1"/>
          <w:sz w:val="22"/>
          <w:szCs w:val="22"/>
        </w:rPr>
        <w:t xml:space="preserve"> </w:t>
      </w:r>
      <w:r w:rsidR="00AA6DD7" w:rsidRPr="00F1129B">
        <w:rPr>
          <w:rFonts w:ascii="Times New Roman" w:hAnsi="Times New Roman" w:cs="Times New Roman"/>
          <w:b/>
          <w:color w:val="000000" w:themeColor="text1"/>
          <w:sz w:val="22"/>
          <w:szCs w:val="22"/>
        </w:rPr>
        <w:t>What are the risks if they don’t?</w:t>
      </w:r>
    </w:p>
    <w:p w14:paraId="0F939120" w14:textId="5B4184E0" w:rsidR="00B36ABB" w:rsidRPr="00B36ABB" w:rsidRDefault="00B36ABB" w:rsidP="00B36ABB">
      <w:pPr>
        <w:pStyle w:val="ListParagraph"/>
        <w:numPr>
          <w:ilvl w:val="0"/>
          <w:numId w:val="21"/>
        </w:numPr>
        <w:rPr>
          <w:lang w:val="en-IN"/>
        </w:rPr>
      </w:pPr>
      <w:r w:rsidRPr="00B36ABB">
        <w:rPr>
          <w:i/>
          <w:iCs/>
          <w:lang w:val="en-IN"/>
        </w:rPr>
        <w:t>Benefit</w:t>
      </w:r>
      <w:r w:rsidRPr="00B36ABB">
        <w:rPr>
          <w:lang w:val="en-IN"/>
        </w:rPr>
        <w:t>: Strategic investments drive research &amp; food security</w:t>
      </w:r>
    </w:p>
    <w:p w14:paraId="2B332CED" w14:textId="4EE3F727" w:rsidR="00B36ABB" w:rsidRPr="00B36ABB" w:rsidRDefault="00B36ABB" w:rsidP="00B36ABB">
      <w:pPr>
        <w:pStyle w:val="ListParagraph"/>
        <w:numPr>
          <w:ilvl w:val="0"/>
          <w:numId w:val="21"/>
        </w:numPr>
        <w:rPr>
          <w:lang w:val="en-IN"/>
        </w:rPr>
      </w:pPr>
      <w:r w:rsidRPr="00B36ABB">
        <w:rPr>
          <w:i/>
          <w:iCs/>
          <w:lang w:val="en-IN"/>
        </w:rPr>
        <w:t>Risk</w:t>
      </w:r>
      <w:r w:rsidRPr="00B36ABB">
        <w:rPr>
          <w:lang w:val="en-IN"/>
        </w:rPr>
        <w:t>: Misuse or stagnation of public funds, delayed progress</w:t>
      </w:r>
    </w:p>
    <w:p w14:paraId="040CD747" w14:textId="77777777" w:rsidR="00B36ABB" w:rsidRPr="00B36ABB" w:rsidRDefault="00B36ABB" w:rsidP="00B36ABB"/>
    <w:p w14:paraId="56F876A2" w14:textId="77777777" w:rsidR="00F67BEF" w:rsidRPr="00F1129B" w:rsidRDefault="00A71F86">
      <w:pPr>
        <w:pStyle w:val="Heading2"/>
        <w:keepNext w:val="0"/>
        <w:keepLines w:val="0"/>
        <w:spacing w:before="200" w:after="200" w:line="240" w:lineRule="auto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  <w:bookmarkStart w:id="7" w:name="_xrbvn3ouktj3" w:colFirst="0" w:colLast="0"/>
      <w:bookmarkEnd w:id="7"/>
      <w:r w:rsidRPr="00F1129B">
        <w:rPr>
          <w:rFonts w:ascii="Times New Roman" w:hAnsi="Times New Roman" w:cs="Times New Roman"/>
          <w:b/>
          <w:color w:val="000000" w:themeColor="text1"/>
          <w:sz w:val="22"/>
          <w:szCs w:val="22"/>
        </w:rPr>
        <w:t xml:space="preserve">2. WHAT? </w:t>
      </w:r>
    </w:p>
    <w:p w14:paraId="56F876A3" w14:textId="7022B3F5" w:rsidR="00F67BEF" w:rsidRDefault="00A71F86">
      <w:pPr>
        <w:pStyle w:val="Heading2"/>
        <w:keepNext w:val="0"/>
        <w:keepLines w:val="0"/>
        <w:spacing w:before="200" w:after="200" w:line="240" w:lineRule="auto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  <w:bookmarkStart w:id="8" w:name="_iv1o8whmvrkr" w:colFirst="0" w:colLast="0"/>
      <w:bookmarkEnd w:id="8"/>
      <w:r w:rsidRPr="00F1129B">
        <w:rPr>
          <w:rFonts w:ascii="Times New Roman" w:hAnsi="Times New Roman" w:cs="Times New Roman"/>
          <w:b/>
          <w:color w:val="000000" w:themeColor="text1"/>
          <w:sz w:val="22"/>
          <w:szCs w:val="22"/>
        </w:rPr>
        <w:t>Question 1:</w:t>
      </w:r>
      <w:r w:rsidR="00B36ABB">
        <w:rPr>
          <w:rFonts w:ascii="Times New Roman" w:hAnsi="Times New Roman" w:cs="Times New Roman"/>
          <w:b/>
          <w:color w:val="000000" w:themeColor="text1"/>
          <w:sz w:val="22"/>
          <w:szCs w:val="22"/>
        </w:rPr>
        <w:t xml:space="preserve"> </w:t>
      </w:r>
      <w:r w:rsidR="00B36ABB" w:rsidRPr="00B36ABB">
        <w:rPr>
          <w:rFonts w:ascii="Times New Roman" w:hAnsi="Times New Roman" w:cs="Times New Roman"/>
          <w:bCs/>
          <w:color w:val="000000" w:themeColor="text1"/>
          <w:sz w:val="22"/>
          <w:szCs w:val="22"/>
        </w:rPr>
        <w:t>Which universities/states received the highest total funding (2004–13)?</w:t>
      </w:r>
    </w:p>
    <w:p w14:paraId="56F876A5" w14:textId="35B3949F" w:rsidR="00F67BEF" w:rsidRPr="00B36ABB" w:rsidRDefault="00A71F86">
      <w:pPr>
        <w:pStyle w:val="Heading3"/>
        <w:keepNext w:val="0"/>
        <w:keepLines w:val="0"/>
        <w:spacing w:before="200" w:after="200" w:line="240" w:lineRule="auto"/>
        <w:rPr>
          <w:rFonts w:ascii="Times New Roman" w:hAnsi="Times New Roman" w:cs="Times New Roman"/>
          <w:bCs/>
          <w:color w:val="000000" w:themeColor="text1"/>
          <w:sz w:val="22"/>
          <w:szCs w:val="22"/>
        </w:rPr>
      </w:pPr>
      <w:bookmarkStart w:id="9" w:name="_557dyu7p3r3d" w:colFirst="0" w:colLast="0"/>
      <w:bookmarkEnd w:id="9"/>
      <w:r w:rsidRPr="00F1129B">
        <w:rPr>
          <w:rFonts w:ascii="Times New Roman" w:hAnsi="Times New Roman" w:cs="Times New Roman"/>
          <w:b/>
          <w:color w:val="000000" w:themeColor="text1"/>
          <w:sz w:val="22"/>
          <w:szCs w:val="22"/>
        </w:rPr>
        <w:t>Question 2:</w:t>
      </w:r>
      <w:r w:rsidR="00B36ABB">
        <w:rPr>
          <w:rFonts w:ascii="Times New Roman" w:hAnsi="Times New Roman" w:cs="Times New Roman"/>
          <w:b/>
          <w:color w:val="000000" w:themeColor="text1"/>
          <w:sz w:val="22"/>
          <w:szCs w:val="22"/>
        </w:rPr>
        <w:t xml:space="preserve"> </w:t>
      </w:r>
      <w:r w:rsidR="00B36ABB" w:rsidRPr="00B36ABB">
        <w:rPr>
          <w:rFonts w:ascii="Times New Roman" w:hAnsi="Times New Roman" w:cs="Times New Roman"/>
          <w:bCs/>
          <w:color w:val="000000" w:themeColor="text1"/>
          <w:sz w:val="22"/>
          <w:szCs w:val="22"/>
        </w:rPr>
        <w:t>Are expenditures aligned with allocations year-wise?</w:t>
      </w:r>
    </w:p>
    <w:p w14:paraId="56F876A7" w14:textId="1644A429" w:rsidR="00F67BEF" w:rsidRPr="00F1129B" w:rsidRDefault="00A71F86">
      <w:pPr>
        <w:pStyle w:val="Heading3"/>
        <w:keepNext w:val="0"/>
        <w:keepLines w:val="0"/>
        <w:spacing w:before="200" w:after="200" w:line="240" w:lineRule="auto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  <w:bookmarkStart w:id="10" w:name="_v4nldtvanwww" w:colFirst="0" w:colLast="0"/>
      <w:bookmarkEnd w:id="10"/>
      <w:r w:rsidRPr="00F1129B">
        <w:rPr>
          <w:rFonts w:ascii="Times New Roman" w:hAnsi="Times New Roman" w:cs="Times New Roman"/>
          <w:b/>
          <w:color w:val="000000" w:themeColor="text1"/>
          <w:sz w:val="22"/>
          <w:szCs w:val="22"/>
        </w:rPr>
        <w:t>Question 3:</w:t>
      </w:r>
      <w:r w:rsidR="00B36ABB">
        <w:rPr>
          <w:rFonts w:ascii="Times New Roman" w:hAnsi="Times New Roman" w:cs="Times New Roman"/>
          <w:b/>
          <w:color w:val="000000" w:themeColor="text1"/>
          <w:sz w:val="22"/>
          <w:szCs w:val="22"/>
        </w:rPr>
        <w:t xml:space="preserve"> </w:t>
      </w:r>
      <w:r w:rsidR="00B36ABB" w:rsidRPr="00B36ABB">
        <w:rPr>
          <w:rFonts w:ascii="Times New Roman" w:hAnsi="Times New Roman" w:cs="Times New Roman"/>
          <w:bCs/>
          <w:color w:val="000000" w:themeColor="text1"/>
          <w:sz w:val="22"/>
          <w:szCs w:val="22"/>
        </w:rPr>
        <w:t>Which funding source—State, ICAR, Others—contributes the most, and how consistently?</w:t>
      </w:r>
    </w:p>
    <w:p w14:paraId="42E402C9" w14:textId="77777777" w:rsidR="008C2015" w:rsidRPr="008C2015" w:rsidRDefault="008C2015" w:rsidP="00B36ABB">
      <w:pPr>
        <w:spacing w:before="200" w:after="200" w:line="240" w:lineRule="auto"/>
        <w:rPr>
          <w:rFonts w:ascii="Times New Roman" w:hAnsi="Times New Roman" w:cs="Times New Roman"/>
          <w:color w:val="000000" w:themeColor="text1"/>
        </w:rPr>
      </w:pPr>
      <w:bookmarkStart w:id="11" w:name="_wgbpjv6tt842" w:colFirst="0" w:colLast="0"/>
      <w:bookmarkEnd w:id="11"/>
    </w:p>
    <w:p w14:paraId="2889F809" w14:textId="79438A37" w:rsidR="008C2015" w:rsidRDefault="00A71F86" w:rsidP="008C2015">
      <w:pPr>
        <w:pStyle w:val="Heading2"/>
        <w:spacing w:before="200" w:after="200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  <w:bookmarkStart w:id="12" w:name="_dyetb6f1vq2v" w:colFirst="0" w:colLast="0"/>
      <w:bookmarkEnd w:id="12"/>
      <w:r w:rsidRPr="00F1129B">
        <w:rPr>
          <w:rFonts w:ascii="Times New Roman" w:hAnsi="Times New Roman" w:cs="Times New Roman"/>
          <w:b/>
          <w:color w:val="000000" w:themeColor="text1"/>
          <w:sz w:val="22"/>
          <w:szCs w:val="22"/>
        </w:rPr>
        <w:lastRenderedPageBreak/>
        <w:t>3.</w:t>
      </w:r>
      <w:r w:rsidR="008C2015">
        <w:rPr>
          <w:rFonts w:ascii="Times New Roman" w:hAnsi="Times New Roman" w:cs="Times New Roman"/>
          <w:b/>
          <w:color w:val="000000" w:themeColor="text1"/>
          <w:sz w:val="22"/>
          <w:szCs w:val="22"/>
        </w:rPr>
        <w:t xml:space="preserve"> Big Idea</w:t>
      </w:r>
    </w:p>
    <w:p w14:paraId="3CB7B9F8" w14:textId="29B58A3D" w:rsidR="008C2015" w:rsidRPr="008C2015" w:rsidRDefault="00A71F86" w:rsidP="008C2015">
      <w:pPr>
        <w:pStyle w:val="Heading2"/>
        <w:spacing w:before="200" w:after="200"/>
        <w:rPr>
          <w:rFonts w:ascii="Times New Roman" w:hAnsi="Times New Roman" w:cs="Times New Roman"/>
          <w:color w:val="000000" w:themeColor="text1"/>
          <w:sz w:val="22"/>
          <w:szCs w:val="22"/>
          <w:lang w:val="en-IN"/>
        </w:rPr>
      </w:pPr>
      <w:r w:rsidRPr="00F1129B">
        <w:rPr>
          <w:rFonts w:ascii="Times New Roman" w:hAnsi="Times New Roman" w:cs="Times New Roman"/>
          <w:b/>
          <w:color w:val="000000" w:themeColor="text1"/>
          <w:sz w:val="22"/>
          <w:szCs w:val="22"/>
        </w:rPr>
        <w:t xml:space="preserve"> </w:t>
      </w:r>
      <w:r w:rsidR="008C2015" w:rsidRPr="008C2015">
        <w:rPr>
          <w:rFonts w:ascii="Times New Roman" w:hAnsi="Times New Roman" w:cs="Times New Roman"/>
          <w:color w:val="000000" w:themeColor="text1"/>
          <w:sz w:val="22"/>
          <w:szCs w:val="22"/>
          <w:lang w:val="en-IN"/>
        </w:rPr>
        <w:t>From 2010 to 2013, India's State Agricultural Universities saw over ₹5,500 crore in total allocations, yet ₹240+ crore remained unspent</w:t>
      </w:r>
      <w:r w:rsidR="008C2015">
        <w:rPr>
          <w:rFonts w:ascii="Times New Roman" w:hAnsi="Times New Roman" w:cs="Times New Roman"/>
          <w:color w:val="000000" w:themeColor="text1"/>
          <w:sz w:val="22"/>
          <w:szCs w:val="22"/>
          <w:lang w:val="en-IN"/>
        </w:rPr>
        <w:t xml:space="preserve">, </w:t>
      </w:r>
      <w:r w:rsidR="008C2015" w:rsidRPr="008C2015">
        <w:rPr>
          <w:rFonts w:ascii="Times New Roman" w:hAnsi="Times New Roman" w:cs="Times New Roman"/>
          <w:color w:val="000000" w:themeColor="text1"/>
          <w:sz w:val="22"/>
          <w:szCs w:val="22"/>
          <w:lang w:val="en-IN"/>
        </w:rPr>
        <w:t>revealing critical underutilization. With 3 universities receiving over ₹300 crore each, funding remains highly concentrated. Realigning utilization with allocations is not just about accountability</w:t>
      </w:r>
      <w:r w:rsidR="008C2015">
        <w:rPr>
          <w:rFonts w:ascii="Times New Roman" w:hAnsi="Times New Roman" w:cs="Times New Roman"/>
          <w:color w:val="000000" w:themeColor="text1"/>
          <w:sz w:val="22"/>
          <w:szCs w:val="22"/>
          <w:lang w:val="en-IN"/>
        </w:rPr>
        <w:t xml:space="preserve">, </w:t>
      </w:r>
      <w:r w:rsidR="008C2015" w:rsidRPr="008C2015">
        <w:rPr>
          <w:rFonts w:ascii="Times New Roman" w:hAnsi="Times New Roman" w:cs="Times New Roman"/>
          <w:color w:val="000000" w:themeColor="text1"/>
          <w:sz w:val="22"/>
          <w:szCs w:val="22"/>
          <w:lang w:val="en-IN"/>
        </w:rPr>
        <w:t>it's about securing India’s agricultural innovation and food future."</w:t>
      </w:r>
    </w:p>
    <w:p w14:paraId="535FC88C" w14:textId="54E97599" w:rsidR="008C2015" w:rsidRPr="008C2015" w:rsidRDefault="008C2015" w:rsidP="008C2015">
      <w:pPr>
        <w:pStyle w:val="Heading2"/>
        <w:spacing w:before="200" w:after="200"/>
        <w:rPr>
          <w:rFonts w:ascii="Times New Roman" w:hAnsi="Times New Roman" w:cs="Times New Roman"/>
          <w:color w:val="000000" w:themeColor="text1"/>
          <w:sz w:val="22"/>
          <w:szCs w:val="22"/>
          <w:lang w:val="en-IN"/>
        </w:rPr>
      </w:pPr>
      <w:r w:rsidRPr="008C2015">
        <w:rPr>
          <w:rFonts w:ascii="Times New Roman" w:hAnsi="Times New Roman" w:cs="Times New Roman"/>
          <w:b/>
          <w:bCs/>
          <w:color w:val="000000" w:themeColor="text1"/>
          <w:sz w:val="22"/>
          <w:szCs w:val="22"/>
          <w:lang w:val="en-IN"/>
        </w:rPr>
        <w:t>Viewpoint</w:t>
      </w:r>
      <w:r w:rsidR="00B36ABB">
        <w:rPr>
          <w:rFonts w:ascii="Times New Roman" w:hAnsi="Times New Roman" w:cs="Times New Roman"/>
          <w:b/>
          <w:bCs/>
          <w:color w:val="000000" w:themeColor="text1"/>
          <w:sz w:val="22"/>
          <w:szCs w:val="22"/>
          <w:lang w:val="en-IN"/>
        </w:rPr>
        <w:t xml:space="preserve">: </w:t>
      </w:r>
      <w:r w:rsidR="00B36ABB" w:rsidRPr="00B36ABB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Data shows where funds flow, but also where they stall. Today’s policy blind spots may become tomorrow’s productivity </w:t>
      </w:r>
      <w:proofErr w:type="gramStart"/>
      <w:r w:rsidR="00B36ABB" w:rsidRPr="00B36ABB">
        <w:rPr>
          <w:rFonts w:ascii="Times New Roman" w:hAnsi="Times New Roman" w:cs="Times New Roman"/>
          <w:color w:val="000000" w:themeColor="text1"/>
          <w:sz w:val="22"/>
          <w:szCs w:val="22"/>
        </w:rPr>
        <w:t>crises</w:t>
      </w:r>
      <w:proofErr w:type="gramEnd"/>
      <w:r w:rsidR="00B36ABB" w:rsidRPr="00B36ABB">
        <w:rPr>
          <w:rFonts w:ascii="Times New Roman" w:hAnsi="Times New Roman" w:cs="Times New Roman"/>
          <w:color w:val="000000" w:themeColor="text1"/>
          <w:sz w:val="22"/>
          <w:szCs w:val="22"/>
        </w:rPr>
        <w:t>.</w:t>
      </w:r>
    </w:p>
    <w:p w14:paraId="56F876B1" w14:textId="1C9D7309" w:rsidR="00F67BEF" w:rsidRPr="008C2015" w:rsidRDefault="00F67BEF" w:rsidP="008C2015">
      <w:pPr>
        <w:pStyle w:val="Heading2"/>
        <w:keepNext w:val="0"/>
        <w:keepLines w:val="0"/>
        <w:spacing w:before="200" w:after="200" w:line="240" w:lineRule="auto"/>
        <w:rPr>
          <w:rFonts w:ascii="Times New Roman" w:hAnsi="Times New Roman" w:cs="Times New Roman"/>
          <w:bCs/>
          <w:color w:val="000000" w:themeColor="text1"/>
          <w:sz w:val="22"/>
          <w:szCs w:val="22"/>
        </w:rPr>
      </w:pPr>
    </w:p>
    <w:p w14:paraId="56F876B2" w14:textId="09193F08" w:rsidR="00F67BEF" w:rsidRDefault="00F67BEF">
      <w:pPr>
        <w:spacing w:before="200" w:after="200" w:line="240" w:lineRule="auto"/>
        <w:rPr>
          <w:rFonts w:ascii="Times New Roman" w:hAnsi="Times New Roman" w:cs="Times New Roman"/>
          <w:color w:val="000000" w:themeColor="text1"/>
        </w:rPr>
      </w:pPr>
    </w:p>
    <w:p w14:paraId="722691CC" w14:textId="77777777" w:rsidR="008C2015" w:rsidRDefault="008C2015">
      <w:pPr>
        <w:spacing w:before="200" w:after="200" w:line="240" w:lineRule="auto"/>
        <w:rPr>
          <w:rFonts w:ascii="Times New Roman" w:hAnsi="Times New Roman" w:cs="Times New Roman"/>
          <w:color w:val="000000" w:themeColor="text1"/>
        </w:rPr>
      </w:pPr>
    </w:p>
    <w:p w14:paraId="3A7A8B66" w14:textId="77777777" w:rsidR="008C2015" w:rsidRPr="00F1129B" w:rsidRDefault="008C2015">
      <w:pPr>
        <w:spacing w:before="200" w:after="200" w:line="240" w:lineRule="auto"/>
        <w:rPr>
          <w:rFonts w:ascii="Times New Roman" w:hAnsi="Times New Roman" w:cs="Times New Roman"/>
          <w:color w:val="000000" w:themeColor="text1"/>
        </w:rPr>
      </w:pPr>
    </w:p>
    <w:p w14:paraId="56F876B3" w14:textId="58612C6F" w:rsidR="00F67BEF" w:rsidRPr="00F1129B" w:rsidRDefault="00A71F86">
      <w:pPr>
        <w:pStyle w:val="Heading2"/>
        <w:keepNext w:val="0"/>
        <w:keepLines w:val="0"/>
        <w:spacing w:before="200" w:after="200" w:line="240" w:lineRule="auto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  <w:bookmarkStart w:id="13" w:name="_4117fq41a58p" w:colFirst="0" w:colLast="0"/>
      <w:bookmarkEnd w:id="13"/>
      <w:r w:rsidRPr="00F1129B">
        <w:rPr>
          <w:rFonts w:ascii="Times New Roman" w:hAnsi="Times New Roman" w:cs="Times New Roman"/>
          <w:b/>
          <w:color w:val="000000" w:themeColor="text1"/>
          <w:sz w:val="22"/>
          <w:szCs w:val="22"/>
        </w:rPr>
        <w:t>4. HOW?</w:t>
      </w:r>
    </w:p>
    <w:tbl>
      <w:tblPr>
        <w:tblW w:w="9923" w:type="dxa"/>
        <w:tblCellSpacing w:w="15" w:type="dxa"/>
        <w:tblBorders>
          <w:bottom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4"/>
        <w:gridCol w:w="1305"/>
        <w:gridCol w:w="1608"/>
        <w:gridCol w:w="2816"/>
        <w:gridCol w:w="2410"/>
      </w:tblGrid>
      <w:tr w:rsidR="0091125C" w:rsidRPr="00527764" w14:paraId="543413EF" w14:textId="77777777" w:rsidTr="00527764">
        <w:trPr>
          <w:trHeight w:val="501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2834020" w14:textId="77777777" w:rsidR="00527764" w:rsidRPr="00527764" w:rsidRDefault="00527764" w:rsidP="00527764">
            <w:pPr>
              <w:pStyle w:val="Heading3"/>
              <w:spacing w:before="200" w:after="20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IN"/>
              </w:rPr>
            </w:pPr>
            <w:r w:rsidRPr="00527764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IN"/>
              </w:rPr>
              <w:t>Chart</w:t>
            </w:r>
          </w:p>
        </w:tc>
        <w:tc>
          <w:tcPr>
            <w:tcW w:w="0" w:type="auto"/>
            <w:vAlign w:val="center"/>
            <w:hideMark/>
          </w:tcPr>
          <w:p w14:paraId="203FE2D8" w14:textId="77777777" w:rsidR="00527764" w:rsidRPr="00527764" w:rsidRDefault="00527764" w:rsidP="00527764">
            <w:pPr>
              <w:pStyle w:val="Heading3"/>
              <w:spacing w:before="200" w:after="20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IN"/>
              </w:rPr>
            </w:pPr>
            <w:r w:rsidRPr="00527764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IN"/>
              </w:rPr>
              <w:t>Viz Type</w:t>
            </w:r>
          </w:p>
        </w:tc>
        <w:tc>
          <w:tcPr>
            <w:tcW w:w="0" w:type="auto"/>
            <w:vAlign w:val="center"/>
            <w:hideMark/>
          </w:tcPr>
          <w:p w14:paraId="4DEE3C6E" w14:textId="77777777" w:rsidR="00527764" w:rsidRPr="00527764" w:rsidRDefault="00527764" w:rsidP="00527764">
            <w:pPr>
              <w:pStyle w:val="Heading3"/>
              <w:spacing w:before="200" w:after="20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IN"/>
              </w:rPr>
            </w:pPr>
            <w:r w:rsidRPr="00527764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IN"/>
              </w:rPr>
              <w:t>Purpose</w:t>
            </w:r>
          </w:p>
        </w:tc>
        <w:tc>
          <w:tcPr>
            <w:tcW w:w="2786" w:type="dxa"/>
            <w:vAlign w:val="center"/>
            <w:hideMark/>
          </w:tcPr>
          <w:p w14:paraId="47911822" w14:textId="77777777" w:rsidR="00527764" w:rsidRPr="00527764" w:rsidRDefault="00527764" w:rsidP="00527764">
            <w:pPr>
              <w:pStyle w:val="Heading3"/>
              <w:spacing w:before="200" w:after="20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IN"/>
              </w:rPr>
            </w:pPr>
            <w:r w:rsidRPr="00527764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IN"/>
              </w:rPr>
              <w:t>Gestalt Principles</w:t>
            </w:r>
          </w:p>
        </w:tc>
        <w:tc>
          <w:tcPr>
            <w:tcW w:w="2365" w:type="dxa"/>
            <w:vAlign w:val="center"/>
            <w:hideMark/>
          </w:tcPr>
          <w:p w14:paraId="2457B7D4" w14:textId="77777777" w:rsidR="00527764" w:rsidRPr="00527764" w:rsidRDefault="00527764" w:rsidP="00527764">
            <w:pPr>
              <w:pStyle w:val="Heading3"/>
              <w:spacing w:before="200" w:after="20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IN"/>
              </w:rPr>
            </w:pPr>
            <w:r w:rsidRPr="00527764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IN"/>
              </w:rPr>
              <w:t>Pre-attentive Attributes</w:t>
            </w:r>
          </w:p>
        </w:tc>
      </w:tr>
      <w:tr w:rsidR="0091125C" w:rsidRPr="00527764" w14:paraId="262A3CE1" w14:textId="77777777" w:rsidTr="00527764">
        <w:trPr>
          <w:trHeight w:val="1873"/>
          <w:tblCellSpacing w:w="15" w:type="dxa"/>
        </w:trPr>
        <w:tc>
          <w:tcPr>
            <w:tcW w:w="0" w:type="auto"/>
            <w:vAlign w:val="center"/>
            <w:hideMark/>
          </w:tcPr>
          <w:p w14:paraId="6CEDA272" w14:textId="2B035F00" w:rsidR="00527764" w:rsidRPr="00527764" w:rsidRDefault="00527764" w:rsidP="00527764">
            <w:pPr>
              <w:pStyle w:val="Heading3"/>
              <w:spacing w:before="200" w:after="200"/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</w:pPr>
            <w:r w:rsidRPr="00527764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IN"/>
              </w:rPr>
              <w:t>Chart 1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 xml:space="preserve">:     </w:t>
            </w:r>
            <w:r w:rsidRPr="00527764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>Total Funding by University</w:t>
            </w:r>
          </w:p>
        </w:tc>
        <w:tc>
          <w:tcPr>
            <w:tcW w:w="0" w:type="auto"/>
            <w:vAlign w:val="center"/>
            <w:hideMark/>
          </w:tcPr>
          <w:p w14:paraId="737DDB75" w14:textId="2D110C58" w:rsidR="00527764" w:rsidRPr="00527764" w:rsidRDefault="00527764" w:rsidP="00527764">
            <w:pPr>
              <w:pStyle w:val="Heading3"/>
              <w:spacing w:before="200" w:after="200"/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</w:pPr>
            <w:r w:rsidRPr="00527764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IN"/>
              </w:rPr>
              <w:t>Horizontal Bar Chart</w:t>
            </w:r>
            <w:r w:rsidRPr="00527764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E591502" w14:textId="22AFA3D3" w:rsidR="00527764" w:rsidRPr="00527764" w:rsidRDefault="0091125C" w:rsidP="00527764">
            <w:pPr>
              <w:pStyle w:val="Heading3"/>
              <w:spacing w:before="200" w:after="200"/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</w:pPr>
            <w:r w:rsidRPr="0091125C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Rank universities by total funds</w:t>
            </w:r>
          </w:p>
        </w:tc>
        <w:tc>
          <w:tcPr>
            <w:tcW w:w="2786" w:type="dxa"/>
            <w:vAlign w:val="center"/>
            <w:hideMark/>
          </w:tcPr>
          <w:p w14:paraId="7A87D127" w14:textId="77D58987" w:rsidR="00527764" w:rsidRPr="00527764" w:rsidRDefault="00527764" w:rsidP="00527764">
            <w:pPr>
              <w:pStyle w:val="Heading3"/>
              <w:spacing w:before="200" w:after="200" w:line="240" w:lineRule="auto"/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</w:pPr>
            <w:r w:rsidRPr="00527764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IN"/>
              </w:rPr>
              <w:t>Similarity</w:t>
            </w:r>
            <w:r w:rsidRPr="00527764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 xml:space="preserve"> (</w:t>
            </w:r>
            <w:r w:rsidR="009A33D0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 xml:space="preserve">Color-Coded </w:t>
            </w:r>
            <w:proofErr w:type="gramStart"/>
            <w:r w:rsidR="009A33D0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>Bars</w:t>
            </w:r>
            <w:r w:rsidRPr="00527764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>)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 xml:space="preserve">   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 xml:space="preserve">                   </w:t>
            </w:r>
            <w:r w:rsidRPr="00527764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IN"/>
              </w:rPr>
              <w:t>Proximity</w:t>
            </w:r>
            <w:r w:rsidRPr="00527764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 xml:space="preserve"> (grouped </w:t>
            </w:r>
            <w:proofErr w:type="gramStart"/>
            <w:r w:rsidRPr="00527764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>bars)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 xml:space="preserve">  </w:t>
            </w:r>
            <w:r w:rsidRPr="00527764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IN"/>
              </w:rPr>
              <w:t>Common</w:t>
            </w:r>
            <w:proofErr w:type="gramEnd"/>
            <w:r w:rsidRPr="00527764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IN"/>
              </w:rPr>
              <w:t xml:space="preserve"> Region</w:t>
            </w:r>
            <w:r w:rsidRPr="00527764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 xml:space="preserve"> (shared axis)</w:t>
            </w:r>
          </w:p>
        </w:tc>
        <w:tc>
          <w:tcPr>
            <w:tcW w:w="2365" w:type="dxa"/>
            <w:vAlign w:val="center"/>
            <w:hideMark/>
          </w:tcPr>
          <w:p w14:paraId="476FC6CB" w14:textId="560A0018" w:rsidR="00527764" w:rsidRPr="00527764" w:rsidRDefault="00527764" w:rsidP="00527764">
            <w:pPr>
              <w:pStyle w:val="Heading3"/>
              <w:spacing w:before="200" w:after="200"/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</w:pPr>
            <w:r w:rsidRPr="00527764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>-</w:t>
            </w:r>
            <w:proofErr w:type="spellStart"/>
            <w:r w:rsidRPr="00527764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>Color</w:t>
            </w:r>
            <w:proofErr w:type="spellEnd"/>
            <w:r w:rsidRPr="00527764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 xml:space="preserve"> for fund types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 xml:space="preserve">; </w:t>
            </w:r>
            <w:r w:rsidRPr="00527764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>Bar length for magnitude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>;</w:t>
            </w:r>
            <w:r w:rsidRPr="00527764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 xml:space="preserve"> Top-sorted for visibility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>.</w:t>
            </w:r>
          </w:p>
        </w:tc>
      </w:tr>
      <w:tr w:rsidR="0091125C" w:rsidRPr="00527764" w14:paraId="22D7050C" w14:textId="77777777" w:rsidTr="005277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6E4321" w14:textId="5CB74568" w:rsidR="00527764" w:rsidRPr="00527764" w:rsidRDefault="00527764" w:rsidP="00527764">
            <w:pPr>
              <w:pStyle w:val="Heading3"/>
              <w:spacing w:before="200" w:after="200"/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</w:pPr>
            <w:r w:rsidRPr="00527764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IN"/>
              </w:rPr>
              <w:t>Chart 2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 xml:space="preserve">: </w:t>
            </w:r>
            <w:r w:rsidRPr="00527764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>Allocation vs Expenditure Trend</w:t>
            </w:r>
          </w:p>
        </w:tc>
        <w:tc>
          <w:tcPr>
            <w:tcW w:w="0" w:type="auto"/>
            <w:vAlign w:val="center"/>
            <w:hideMark/>
          </w:tcPr>
          <w:p w14:paraId="4A121617" w14:textId="77777777" w:rsidR="00527764" w:rsidRPr="00527764" w:rsidRDefault="00527764" w:rsidP="00527764">
            <w:pPr>
              <w:pStyle w:val="Heading3"/>
              <w:spacing w:before="200" w:after="200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IN"/>
              </w:rPr>
            </w:pPr>
            <w:r w:rsidRPr="00527764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IN"/>
              </w:rPr>
              <w:t>Dual Line Chart</w:t>
            </w:r>
          </w:p>
        </w:tc>
        <w:tc>
          <w:tcPr>
            <w:tcW w:w="0" w:type="auto"/>
            <w:vAlign w:val="center"/>
            <w:hideMark/>
          </w:tcPr>
          <w:p w14:paraId="32E646AD" w14:textId="06248A5E" w:rsidR="00527764" w:rsidRPr="00527764" w:rsidRDefault="0091125C" w:rsidP="00527764">
            <w:pPr>
              <w:pStyle w:val="Heading3"/>
              <w:spacing w:before="200" w:after="200"/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</w:pPr>
            <w:r w:rsidRPr="0091125C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Year-wise budget utilization</w:t>
            </w:r>
          </w:p>
        </w:tc>
        <w:tc>
          <w:tcPr>
            <w:tcW w:w="2786" w:type="dxa"/>
            <w:vAlign w:val="center"/>
            <w:hideMark/>
          </w:tcPr>
          <w:p w14:paraId="473217EA" w14:textId="31619863" w:rsidR="00527764" w:rsidRPr="00527764" w:rsidRDefault="00527764" w:rsidP="00527764">
            <w:pPr>
              <w:pStyle w:val="Heading3"/>
              <w:spacing w:before="200" w:after="200"/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</w:pPr>
            <w:r w:rsidRPr="00527764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IN"/>
              </w:rPr>
              <w:t xml:space="preserve">Continuity </w:t>
            </w:r>
            <w:r w:rsidRPr="00527764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>(smooth flow)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 xml:space="preserve"> </w:t>
            </w:r>
            <w:r w:rsidRPr="00527764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IN"/>
              </w:rPr>
              <w:t>Figure/Ground</w:t>
            </w:r>
            <w:r w:rsidRPr="00527764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 xml:space="preserve"> (distinct lines) </w:t>
            </w:r>
            <w:r w:rsidRPr="00527764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IN"/>
              </w:rPr>
              <w:t>Closure</w:t>
            </w:r>
            <w:r w:rsidRPr="00527764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 xml:space="preserve"> (inferred continuity)</w:t>
            </w:r>
          </w:p>
        </w:tc>
        <w:tc>
          <w:tcPr>
            <w:tcW w:w="2365" w:type="dxa"/>
            <w:vAlign w:val="center"/>
            <w:hideMark/>
          </w:tcPr>
          <w:p w14:paraId="67CC4745" w14:textId="53544D6D" w:rsidR="00527764" w:rsidRPr="00527764" w:rsidRDefault="00527764" w:rsidP="00527764">
            <w:pPr>
              <w:pStyle w:val="Heading3"/>
              <w:spacing w:before="200" w:after="200"/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</w:pPr>
            <w:r w:rsidRPr="00527764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 xml:space="preserve">Line </w:t>
            </w:r>
            <w:proofErr w:type="spellStart"/>
            <w:r w:rsidRPr="00527764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>color</w:t>
            </w:r>
            <w:proofErr w:type="spellEnd"/>
            <w:r w:rsidRPr="00527764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>/thickness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 xml:space="preserve">; </w:t>
            </w:r>
            <w:r w:rsidRPr="00527764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>Axis movement for trend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>;</w:t>
            </w:r>
            <w:r w:rsidRPr="00527764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 xml:space="preserve"> Gap width for insight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>.</w:t>
            </w:r>
          </w:p>
        </w:tc>
      </w:tr>
      <w:tr w:rsidR="0091125C" w:rsidRPr="00527764" w14:paraId="037688AE" w14:textId="77777777" w:rsidTr="00FB3F68">
        <w:trPr>
          <w:trHeight w:val="1299"/>
          <w:tblCellSpacing w:w="15" w:type="dxa"/>
        </w:trPr>
        <w:tc>
          <w:tcPr>
            <w:tcW w:w="0" w:type="auto"/>
            <w:vAlign w:val="center"/>
            <w:hideMark/>
          </w:tcPr>
          <w:p w14:paraId="2DE9752D" w14:textId="25627C33" w:rsidR="00527764" w:rsidRPr="00527764" w:rsidRDefault="00527764" w:rsidP="00527764">
            <w:pPr>
              <w:pStyle w:val="Heading3"/>
              <w:spacing w:before="200" w:after="200"/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</w:pPr>
            <w:r w:rsidRPr="00527764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IN"/>
              </w:rPr>
              <w:t>Chart 3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IN"/>
              </w:rPr>
              <w:t xml:space="preserve">: </w:t>
            </w:r>
            <w:r w:rsidRPr="00527764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>Funding Source Contribution</w:t>
            </w:r>
          </w:p>
        </w:tc>
        <w:tc>
          <w:tcPr>
            <w:tcW w:w="0" w:type="auto"/>
            <w:vAlign w:val="center"/>
            <w:hideMark/>
          </w:tcPr>
          <w:p w14:paraId="704114B0" w14:textId="77777777" w:rsidR="00527764" w:rsidRPr="00527764" w:rsidRDefault="00527764" w:rsidP="00527764">
            <w:pPr>
              <w:pStyle w:val="Heading3"/>
              <w:spacing w:before="200" w:after="200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IN"/>
              </w:rPr>
            </w:pPr>
            <w:r w:rsidRPr="00527764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IN"/>
              </w:rPr>
              <w:t>Stacked Area Chart</w:t>
            </w:r>
          </w:p>
        </w:tc>
        <w:tc>
          <w:tcPr>
            <w:tcW w:w="0" w:type="auto"/>
            <w:vAlign w:val="center"/>
            <w:hideMark/>
          </w:tcPr>
          <w:p w14:paraId="0BC39FDF" w14:textId="66FDF6B6" w:rsidR="00527764" w:rsidRPr="00527764" w:rsidRDefault="0091125C" w:rsidP="00527764">
            <w:pPr>
              <w:pStyle w:val="Heading3"/>
              <w:spacing w:before="200" w:after="200"/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</w:pPr>
            <w:r w:rsidRPr="0091125C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Trend of contributions by source</w:t>
            </w:r>
          </w:p>
        </w:tc>
        <w:tc>
          <w:tcPr>
            <w:tcW w:w="2786" w:type="dxa"/>
            <w:vAlign w:val="center"/>
            <w:hideMark/>
          </w:tcPr>
          <w:p w14:paraId="6AD8F245" w14:textId="50D02988" w:rsidR="00527764" w:rsidRPr="00527764" w:rsidRDefault="00527764" w:rsidP="00527764">
            <w:pPr>
              <w:pStyle w:val="Heading3"/>
              <w:spacing w:before="200" w:after="200"/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</w:pPr>
            <w:r w:rsidRPr="00527764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IN"/>
              </w:rPr>
              <w:t>Connectedness</w:t>
            </w:r>
            <w:r w:rsidRPr="00527764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 xml:space="preserve"> (flowing </w:t>
            </w:r>
            <w:proofErr w:type="gramStart"/>
            <w:r w:rsidRPr="00527764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>areas)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 xml:space="preserve">   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 xml:space="preserve">                     </w:t>
            </w:r>
            <w:r w:rsidRPr="00527764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IN"/>
              </w:rPr>
              <w:t>Similarity</w:t>
            </w:r>
            <w:r w:rsidRPr="00527764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 xml:space="preserve"> (consistent </w:t>
            </w:r>
            <w:proofErr w:type="spellStart"/>
            <w:r w:rsidRPr="00527764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>colors</w:t>
            </w:r>
            <w:proofErr w:type="spellEnd"/>
            <w:r w:rsidRPr="00527764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 xml:space="preserve">) </w:t>
            </w:r>
            <w:r w:rsidRPr="00527764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  <w:lang w:val="en-IN"/>
              </w:rPr>
              <w:t>Symmetry</w:t>
            </w:r>
            <w:r w:rsidRPr="00527764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 xml:space="preserve"> (balanced layout)</w:t>
            </w:r>
          </w:p>
        </w:tc>
        <w:tc>
          <w:tcPr>
            <w:tcW w:w="2365" w:type="dxa"/>
            <w:vAlign w:val="center"/>
            <w:hideMark/>
          </w:tcPr>
          <w:p w14:paraId="1FD32D1E" w14:textId="642B3E50" w:rsidR="00527764" w:rsidRPr="00527764" w:rsidRDefault="00527764" w:rsidP="00527764">
            <w:pPr>
              <w:pStyle w:val="Heading3"/>
              <w:spacing w:before="200" w:after="200"/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</w:pPr>
            <w:r w:rsidRPr="00527764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>Area size for dominance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>;</w:t>
            </w:r>
            <w:r w:rsidRPr="00527764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 xml:space="preserve"> Horizontal timeline flow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 xml:space="preserve">; </w:t>
            </w:r>
            <w:r w:rsidRPr="00527764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>Layered stacks for shifts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lang w:val="en-IN"/>
              </w:rPr>
              <w:t>.</w:t>
            </w:r>
          </w:p>
        </w:tc>
      </w:tr>
    </w:tbl>
    <w:p w14:paraId="4572225E" w14:textId="77777777" w:rsidR="00CC6118" w:rsidRDefault="00CC6118">
      <w:pPr>
        <w:pStyle w:val="Heading3"/>
        <w:keepNext w:val="0"/>
        <w:keepLines w:val="0"/>
        <w:spacing w:before="200" w:after="200" w:line="240" w:lineRule="auto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14:paraId="7C72C4E2" w14:textId="77777777" w:rsidR="009A33D0" w:rsidRDefault="009A33D0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2"/>
          <w:szCs w:val="22"/>
        </w:rPr>
      </w:pPr>
      <w:bookmarkStart w:id="14" w:name="_ttpsbbklq83h" w:colFirst="0" w:colLast="0"/>
      <w:bookmarkEnd w:id="14"/>
    </w:p>
    <w:p w14:paraId="1A4B09E2" w14:textId="77777777" w:rsidR="009A33D0" w:rsidRDefault="009A33D0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2"/>
          <w:szCs w:val="22"/>
        </w:rPr>
      </w:pPr>
    </w:p>
    <w:p w14:paraId="2AC02849" w14:textId="77777777" w:rsidR="009A33D0" w:rsidRDefault="009A33D0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2"/>
          <w:szCs w:val="22"/>
        </w:rPr>
      </w:pPr>
    </w:p>
    <w:p w14:paraId="4033CFD4" w14:textId="54E1075A" w:rsidR="009A33D0" w:rsidRDefault="009A33D0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2"/>
          <w:szCs w:val="22"/>
        </w:rPr>
      </w:pPr>
      <w:r>
        <w:rPr>
          <w:rFonts w:ascii="Times New Roman" w:hAnsi="Times New Roman" w:cs="Times New Roman"/>
          <w:b/>
          <w:color w:val="000000"/>
          <w:sz w:val="22"/>
          <w:szCs w:val="22"/>
        </w:rPr>
        <w:lastRenderedPageBreak/>
        <w:t>Observation:</w:t>
      </w:r>
    </w:p>
    <w:p w14:paraId="5B19A468" w14:textId="77777777" w:rsidR="009A33D0" w:rsidRPr="009A33D0" w:rsidRDefault="009A33D0" w:rsidP="009A33D0"/>
    <w:p w14:paraId="2B84C254" w14:textId="52356EE1" w:rsidR="00FB3F68" w:rsidRPr="009A33D0" w:rsidRDefault="00FB3F68" w:rsidP="00527764">
      <w:pPr>
        <w:rPr>
          <w:b/>
          <w:bCs/>
          <w:u w:val="single"/>
        </w:rPr>
      </w:pPr>
      <w:r w:rsidRPr="009A33D0">
        <w:rPr>
          <w:b/>
          <w:bCs/>
          <w:u w:val="single"/>
        </w:rPr>
        <w:t xml:space="preserve">Chart 1: </w:t>
      </w:r>
      <w:r w:rsidRPr="00527764">
        <w:rPr>
          <w:rFonts w:ascii="Times New Roman" w:hAnsi="Times New Roman" w:cs="Times New Roman"/>
          <w:b/>
          <w:bCs/>
          <w:color w:val="000000" w:themeColor="text1"/>
          <w:u w:val="single"/>
          <w:lang w:val="en-IN"/>
        </w:rPr>
        <w:t>Total Funding by Universit</w:t>
      </w:r>
      <w:r w:rsidR="009A33D0" w:rsidRPr="009A33D0">
        <w:rPr>
          <w:rFonts w:ascii="Times New Roman" w:hAnsi="Times New Roman" w:cs="Times New Roman"/>
          <w:b/>
          <w:bCs/>
          <w:color w:val="000000" w:themeColor="text1"/>
          <w:u w:val="single"/>
          <w:lang w:val="en-IN"/>
        </w:rPr>
        <w:t>y</w:t>
      </w:r>
    </w:p>
    <w:p w14:paraId="56F876DE" w14:textId="194117DA" w:rsidR="00F67BEF" w:rsidRPr="00FB3F68" w:rsidRDefault="00A71F86" w:rsidP="00FB3F68">
      <w:pPr>
        <w:numPr>
          <w:ilvl w:val="0"/>
          <w:numId w:val="17"/>
        </w:numPr>
        <w:spacing w:before="240"/>
        <w:rPr>
          <w:rFonts w:ascii="Times New Roman" w:hAnsi="Times New Roman" w:cs="Times New Roman"/>
        </w:rPr>
      </w:pPr>
      <w:r w:rsidRPr="00FB3F68">
        <w:rPr>
          <w:rFonts w:ascii="Times New Roman" w:hAnsi="Times New Roman" w:cs="Times New Roman"/>
          <w:b/>
        </w:rPr>
        <w:t>Concentration of Funding</w:t>
      </w:r>
      <w:r w:rsidRPr="00FB3F68">
        <w:rPr>
          <w:rFonts w:ascii="Times New Roman" w:hAnsi="Times New Roman" w:cs="Times New Roman"/>
          <w:b/>
          <w:bCs/>
        </w:rPr>
        <w:t>:</w:t>
      </w:r>
      <w:r w:rsidR="00C53D00" w:rsidRPr="00FB3F68">
        <w:rPr>
          <w:rFonts w:ascii="Times New Roman" w:hAnsi="Times New Roman" w:cs="Times New Roman"/>
        </w:rPr>
        <w:t xml:space="preserve"> </w:t>
      </w:r>
      <w:r w:rsidR="0091125C" w:rsidRPr="0091125C">
        <w:rPr>
          <w:rFonts w:ascii="Times New Roman" w:hAnsi="Times New Roman" w:cs="Times New Roman"/>
        </w:rPr>
        <w:t>Marathwada leads with ₹30,000+ lakh.</w:t>
      </w:r>
    </w:p>
    <w:p w14:paraId="56F876DF" w14:textId="41863A3D" w:rsidR="00F67BEF" w:rsidRPr="0091125C" w:rsidRDefault="00A71F86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F1129B">
        <w:rPr>
          <w:rFonts w:ascii="Times New Roman" w:hAnsi="Times New Roman" w:cs="Times New Roman"/>
          <w:b/>
        </w:rPr>
        <w:t>Skewed Distribution</w:t>
      </w:r>
      <w:r w:rsidRPr="00F1129B">
        <w:rPr>
          <w:rFonts w:ascii="Times New Roman" w:hAnsi="Times New Roman" w:cs="Times New Roman"/>
          <w:b/>
          <w:bCs/>
        </w:rPr>
        <w:t>:</w:t>
      </w:r>
      <w:r w:rsidR="00C53D00" w:rsidRPr="00F1129B">
        <w:rPr>
          <w:rFonts w:ascii="Times New Roman" w:hAnsi="Times New Roman" w:cs="Times New Roman"/>
          <w:b/>
          <w:bCs/>
        </w:rPr>
        <w:t xml:space="preserve"> </w:t>
      </w:r>
      <w:r w:rsidR="0091125C" w:rsidRPr="0091125C">
        <w:rPr>
          <w:rFonts w:ascii="Times New Roman" w:hAnsi="Times New Roman" w:cs="Times New Roman"/>
        </w:rPr>
        <w:t>Gap after top 3–5 indicates skewed distribution.</w:t>
      </w:r>
    </w:p>
    <w:p w14:paraId="24B191A9" w14:textId="5564F53F" w:rsidR="00805095" w:rsidRPr="00FB3F68" w:rsidRDefault="00A71F86" w:rsidP="00FB3F68">
      <w:pPr>
        <w:numPr>
          <w:ilvl w:val="0"/>
          <w:numId w:val="17"/>
        </w:numPr>
        <w:spacing w:after="240"/>
        <w:rPr>
          <w:rFonts w:ascii="Times New Roman" w:hAnsi="Times New Roman" w:cs="Times New Roman"/>
        </w:rPr>
      </w:pPr>
      <w:r w:rsidRPr="00F1129B">
        <w:rPr>
          <w:rFonts w:ascii="Times New Roman" w:hAnsi="Times New Roman" w:cs="Times New Roman"/>
          <w:b/>
        </w:rPr>
        <w:t>Strategic Spotlight Needed</w:t>
      </w:r>
      <w:r w:rsidRPr="00F1129B">
        <w:rPr>
          <w:rFonts w:ascii="Times New Roman" w:hAnsi="Times New Roman" w:cs="Times New Roman"/>
          <w:b/>
          <w:bCs/>
        </w:rPr>
        <w:t>:</w:t>
      </w:r>
      <w:r w:rsidR="00C53D00" w:rsidRPr="00F1129B">
        <w:rPr>
          <w:rFonts w:ascii="Times New Roman" w:hAnsi="Times New Roman" w:cs="Times New Roman"/>
        </w:rPr>
        <w:t xml:space="preserve"> </w:t>
      </w:r>
      <w:r w:rsidR="0091125C" w:rsidRPr="0091125C">
        <w:rPr>
          <w:rFonts w:ascii="Times New Roman" w:hAnsi="Times New Roman" w:cs="Times New Roman"/>
        </w:rPr>
        <w:t>Suggests reviewing mid-tier institutions' needs/performance.</w:t>
      </w:r>
    </w:p>
    <w:p w14:paraId="176120D6" w14:textId="32CAB692" w:rsidR="00732CAB" w:rsidRPr="00FB3F68" w:rsidRDefault="00A71F86" w:rsidP="009A33D0">
      <w:pPr>
        <w:pStyle w:val="Heading3"/>
        <w:keepNext w:val="0"/>
        <w:keepLines w:val="0"/>
        <w:spacing w:before="280" w:after="240"/>
        <w:rPr>
          <w:rFonts w:ascii="Times New Roman" w:hAnsi="Times New Roman" w:cs="Times New Roman"/>
          <w:sz w:val="22"/>
          <w:szCs w:val="22"/>
        </w:rPr>
      </w:pPr>
      <w:r w:rsidRPr="00FB3F68">
        <w:rPr>
          <w:rFonts w:ascii="Times New Roman" w:hAnsi="Times New Roman" w:cs="Times New Roman"/>
          <w:b/>
          <w:color w:val="000000"/>
          <w:sz w:val="22"/>
          <w:szCs w:val="22"/>
          <w:u w:val="single"/>
        </w:rPr>
        <w:t xml:space="preserve">Chart 2: </w:t>
      </w:r>
      <w:bookmarkStart w:id="15" w:name="_24r3es8dsqi" w:colFirst="0" w:colLast="0"/>
      <w:bookmarkEnd w:id="15"/>
      <w:r w:rsidR="00FB3F68" w:rsidRPr="00FB3F68">
        <w:rPr>
          <w:rFonts w:ascii="Times New Roman" w:hAnsi="Times New Roman" w:cs="Times New Roman"/>
          <w:b/>
          <w:color w:val="000000"/>
          <w:sz w:val="22"/>
          <w:szCs w:val="22"/>
          <w:u w:val="single"/>
        </w:rPr>
        <w:t xml:space="preserve">Annual Trend: Budget Allocation vs Expenditure </w:t>
      </w:r>
    </w:p>
    <w:p w14:paraId="5C11B1D1" w14:textId="77777777" w:rsidR="00464141" w:rsidRPr="00F1129B" w:rsidRDefault="00464141" w:rsidP="00464141">
      <w:pPr>
        <w:numPr>
          <w:ilvl w:val="0"/>
          <w:numId w:val="27"/>
        </w:numPr>
        <w:spacing w:after="240"/>
        <w:rPr>
          <w:rFonts w:ascii="Times New Roman" w:hAnsi="Times New Roman" w:cs="Times New Roman"/>
        </w:rPr>
      </w:pPr>
      <w:bookmarkStart w:id="16" w:name="_xjtuz8m9g40x" w:colFirst="0" w:colLast="0"/>
      <w:bookmarkEnd w:id="16"/>
      <w:r w:rsidRPr="00F1129B">
        <w:rPr>
          <w:rFonts w:ascii="Times New Roman" w:hAnsi="Times New Roman" w:cs="Times New Roman"/>
          <w:b/>
          <w:bCs/>
        </w:rPr>
        <w:t>Tight coupling until 2009</w:t>
      </w:r>
      <w:proofErr w:type="gramStart"/>
      <w:r w:rsidRPr="00F1129B">
        <w:rPr>
          <w:rFonts w:ascii="Times New Roman" w:hAnsi="Times New Roman" w:cs="Times New Roman"/>
          <w:b/>
          <w:bCs/>
        </w:rPr>
        <w:t>:</w:t>
      </w:r>
      <w:r w:rsidRPr="00F1129B">
        <w:rPr>
          <w:rFonts w:ascii="Times New Roman" w:hAnsi="Times New Roman" w:cs="Times New Roman"/>
        </w:rPr>
        <w:t>  Blue</w:t>
      </w:r>
      <w:proofErr w:type="gramEnd"/>
      <w:r w:rsidRPr="00F1129B">
        <w:rPr>
          <w:rFonts w:ascii="Times New Roman" w:hAnsi="Times New Roman" w:cs="Times New Roman"/>
        </w:rPr>
        <w:t xml:space="preserve"> (Allocation) and orange (Expenditure) lines track almost identically up to 2009-10, suggesting efficient utilisation in early years.</w:t>
      </w:r>
    </w:p>
    <w:p w14:paraId="2DDF76F8" w14:textId="0C1CFC5D" w:rsidR="00464141" w:rsidRPr="00F1129B" w:rsidRDefault="00464141" w:rsidP="00464141">
      <w:pPr>
        <w:numPr>
          <w:ilvl w:val="0"/>
          <w:numId w:val="27"/>
        </w:numPr>
        <w:spacing w:after="240"/>
        <w:rPr>
          <w:rFonts w:ascii="Times New Roman" w:hAnsi="Times New Roman" w:cs="Times New Roman"/>
        </w:rPr>
      </w:pPr>
      <w:r w:rsidRPr="00F1129B">
        <w:rPr>
          <w:rFonts w:ascii="Times New Roman" w:hAnsi="Times New Roman" w:cs="Times New Roman"/>
          <w:b/>
          <w:bCs/>
        </w:rPr>
        <w:t>Post-201</w:t>
      </w:r>
      <w:r w:rsidR="0091125C">
        <w:rPr>
          <w:rFonts w:ascii="Times New Roman" w:hAnsi="Times New Roman" w:cs="Times New Roman"/>
          <w:b/>
          <w:bCs/>
        </w:rPr>
        <w:t>1</w:t>
      </w:r>
      <w:r w:rsidRPr="00F1129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1129B">
        <w:rPr>
          <w:rFonts w:ascii="Times New Roman" w:hAnsi="Times New Roman" w:cs="Times New Roman"/>
          <w:b/>
          <w:bCs/>
        </w:rPr>
        <w:t>utilisation</w:t>
      </w:r>
      <w:proofErr w:type="spellEnd"/>
      <w:r w:rsidRPr="00F1129B">
        <w:rPr>
          <w:rFonts w:ascii="Times New Roman" w:hAnsi="Times New Roman" w:cs="Times New Roman"/>
          <w:b/>
          <w:bCs/>
        </w:rPr>
        <w:t xml:space="preserve"> gap:</w:t>
      </w:r>
      <w:r w:rsidRPr="00F1129B">
        <w:rPr>
          <w:rFonts w:ascii="Times New Roman" w:hAnsi="Times New Roman" w:cs="Times New Roman"/>
        </w:rPr>
        <w:t xml:space="preserve"> </w:t>
      </w:r>
      <w:r w:rsidR="0091125C" w:rsidRPr="0091125C">
        <w:rPr>
          <w:rFonts w:ascii="Times New Roman" w:hAnsi="Times New Roman" w:cs="Times New Roman"/>
        </w:rPr>
        <w:t>Post-2011: Allocation peaks (~₹62K lakh), Expenditure lags.</w:t>
      </w:r>
    </w:p>
    <w:p w14:paraId="4A9862BF" w14:textId="08DC0BEE" w:rsidR="009A33D0" w:rsidRPr="009A33D0" w:rsidRDefault="009A33D0" w:rsidP="00464141">
      <w:pPr>
        <w:numPr>
          <w:ilvl w:val="0"/>
          <w:numId w:val="27"/>
        </w:numPr>
        <w:spacing w:after="240"/>
        <w:rPr>
          <w:rFonts w:ascii="Times New Roman" w:hAnsi="Times New Roman" w:cs="Times New Roman"/>
        </w:rPr>
      </w:pPr>
      <w:r w:rsidRPr="009A33D0">
        <w:rPr>
          <w:rFonts w:ascii="Times New Roman" w:hAnsi="Times New Roman" w:cs="Times New Roman"/>
          <w:b/>
          <w:bCs/>
        </w:rPr>
        <w:t xml:space="preserve">Bottleneck: </w:t>
      </w:r>
      <w:r w:rsidRPr="009A33D0">
        <w:rPr>
          <w:rFonts w:ascii="Times New Roman" w:hAnsi="Times New Roman" w:cs="Times New Roman"/>
        </w:rPr>
        <w:t>₹5–10K lakh annual unspent funds suggest bottlenecks.</w:t>
      </w:r>
    </w:p>
    <w:p w14:paraId="26A385D8" w14:textId="4760F3E6" w:rsidR="00FB3F68" w:rsidRPr="009A33D0" w:rsidRDefault="00464141" w:rsidP="00FB3F68">
      <w:pPr>
        <w:numPr>
          <w:ilvl w:val="0"/>
          <w:numId w:val="27"/>
        </w:numPr>
        <w:spacing w:after="240"/>
        <w:rPr>
          <w:rFonts w:ascii="Times New Roman" w:hAnsi="Times New Roman" w:cs="Times New Roman"/>
        </w:rPr>
      </w:pPr>
      <w:r w:rsidRPr="00F1129B">
        <w:rPr>
          <w:rFonts w:ascii="Times New Roman" w:hAnsi="Times New Roman" w:cs="Times New Roman"/>
          <w:b/>
          <w:bCs/>
        </w:rPr>
        <w:t>Long-term trend still positive:</w:t>
      </w:r>
      <w:r w:rsidRPr="00F1129B">
        <w:rPr>
          <w:rFonts w:ascii="Times New Roman" w:hAnsi="Times New Roman" w:cs="Times New Roman"/>
        </w:rPr>
        <w:t xml:space="preserve"> Despite the 2012-13 dip, the trajectory from 1998 is upward: allocations and </w:t>
      </w:r>
      <w:proofErr w:type="gramStart"/>
      <w:r w:rsidRPr="00F1129B">
        <w:rPr>
          <w:rFonts w:ascii="Times New Roman" w:hAnsi="Times New Roman" w:cs="Times New Roman"/>
        </w:rPr>
        <w:t>spend</w:t>
      </w:r>
      <w:proofErr w:type="gramEnd"/>
      <w:r w:rsidRPr="00F1129B">
        <w:rPr>
          <w:rFonts w:ascii="Times New Roman" w:hAnsi="Times New Roman" w:cs="Times New Roman"/>
        </w:rPr>
        <w:t xml:space="preserve"> rise from near-zero to multi-tens-of-thousands of </w:t>
      </w:r>
      <w:proofErr w:type="gramStart"/>
      <w:r w:rsidRPr="00F1129B">
        <w:rPr>
          <w:rFonts w:ascii="Times New Roman" w:hAnsi="Times New Roman" w:cs="Times New Roman"/>
        </w:rPr>
        <w:t>lakh</w:t>
      </w:r>
      <w:proofErr w:type="gramEnd"/>
      <w:r w:rsidRPr="00F1129B">
        <w:rPr>
          <w:rFonts w:ascii="Times New Roman" w:hAnsi="Times New Roman" w:cs="Times New Roman"/>
        </w:rPr>
        <w:t>, underscoring sustained investment growth.</w:t>
      </w:r>
    </w:p>
    <w:p w14:paraId="0BBCA3D0" w14:textId="1E910FDF" w:rsidR="00313A7B" w:rsidRPr="00F1129B" w:rsidRDefault="00FB3F68" w:rsidP="009A33D0">
      <w:pPr>
        <w:spacing w:after="240"/>
        <w:rPr>
          <w:rFonts w:ascii="Times New Roman" w:hAnsi="Times New Roman" w:cs="Times New Roman"/>
          <w:b/>
          <w:bCs/>
        </w:rPr>
      </w:pPr>
      <w:r w:rsidRPr="00FB3F68">
        <w:rPr>
          <w:rFonts w:ascii="Times New Roman" w:hAnsi="Times New Roman" w:cs="Times New Roman"/>
          <w:b/>
          <w:bCs/>
        </w:rPr>
        <w:t>Chart 3: Fund Allocations by State, ICAR, and Other Sources over the years</w:t>
      </w:r>
    </w:p>
    <w:p w14:paraId="5EE508C6" w14:textId="21805AC7" w:rsidR="00313A7B" w:rsidRPr="00F1129B" w:rsidRDefault="00313A7B" w:rsidP="00313A7B">
      <w:pPr>
        <w:numPr>
          <w:ilvl w:val="0"/>
          <w:numId w:val="34"/>
        </w:numPr>
        <w:rPr>
          <w:rFonts w:ascii="Times New Roman" w:hAnsi="Times New Roman" w:cs="Times New Roman"/>
          <w:lang w:val="en-IN"/>
        </w:rPr>
      </w:pPr>
      <w:r w:rsidRPr="00F1129B">
        <w:rPr>
          <w:rFonts w:ascii="Times New Roman" w:hAnsi="Times New Roman" w:cs="Times New Roman"/>
          <w:b/>
          <w:bCs/>
          <w:lang w:val="en-IN"/>
        </w:rPr>
        <w:t xml:space="preserve">Steep expansion 2007-11: </w:t>
      </w:r>
      <w:r w:rsidR="009A33D0" w:rsidRPr="009A33D0">
        <w:rPr>
          <w:rFonts w:ascii="Times New Roman" w:hAnsi="Times New Roman" w:cs="Times New Roman"/>
          <w:lang w:val="en-IN"/>
        </w:rPr>
        <w:t>S</w:t>
      </w:r>
      <w:proofErr w:type="spellStart"/>
      <w:r w:rsidR="009A33D0" w:rsidRPr="009A33D0">
        <w:rPr>
          <w:rFonts w:ascii="Times New Roman" w:hAnsi="Times New Roman" w:cs="Times New Roman"/>
        </w:rPr>
        <w:t>tate</w:t>
      </w:r>
      <w:proofErr w:type="spellEnd"/>
      <w:r w:rsidR="009A33D0" w:rsidRPr="009A33D0">
        <w:rPr>
          <w:rFonts w:ascii="Times New Roman" w:hAnsi="Times New Roman" w:cs="Times New Roman"/>
        </w:rPr>
        <w:t xml:space="preserve"> funding dominates, especially after 2007–08</w:t>
      </w:r>
      <w:r w:rsidR="009A33D0" w:rsidRPr="009A33D0">
        <w:rPr>
          <w:rFonts w:ascii="Times New Roman" w:hAnsi="Times New Roman" w:cs="Times New Roman"/>
          <w:b/>
          <w:bCs/>
        </w:rPr>
        <w:t>.</w:t>
      </w:r>
    </w:p>
    <w:p w14:paraId="324F9BE4" w14:textId="1E72CC27" w:rsidR="00CD4ABE" w:rsidRPr="009A33D0" w:rsidRDefault="00313A7B" w:rsidP="009A33D0">
      <w:pPr>
        <w:numPr>
          <w:ilvl w:val="0"/>
          <w:numId w:val="34"/>
        </w:numPr>
        <w:rPr>
          <w:rFonts w:ascii="Times New Roman" w:hAnsi="Times New Roman" w:cs="Times New Roman"/>
          <w:lang w:val="en-IN"/>
        </w:rPr>
      </w:pPr>
      <w:r w:rsidRPr="00F1129B">
        <w:rPr>
          <w:rFonts w:ascii="Times New Roman" w:hAnsi="Times New Roman" w:cs="Times New Roman"/>
          <w:b/>
          <w:bCs/>
          <w:lang w:val="en-IN"/>
        </w:rPr>
        <w:t>ICAR’s step-up but still secondary:</w:t>
      </w:r>
      <w:r w:rsidRPr="00F1129B">
        <w:rPr>
          <w:rFonts w:ascii="Times New Roman" w:hAnsi="Times New Roman" w:cs="Times New Roman"/>
          <w:lang w:val="en-IN"/>
        </w:rPr>
        <w:t xml:space="preserve"> ICAR Allocation stays modest (&lt;₹21 K lakh at peak) yet roughly quadruples between 2008-09 and 2010-11, showing targeted central infusions.</w:t>
      </w:r>
    </w:p>
    <w:p w14:paraId="03899C42" w14:textId="737A40A3" w:rsidR="005925FF" w:rsidRPr="009A33D0" w:rsidRDefault="00121213" w:rsidP="00CA64A1">
      <w:pPr>
        <w:numPr>
          <w:ilvl w:val="0"/>
          <w:numId w:val="34"/>
        </w:numPr>
        <w:rPr>
          <w:rFonts w:ascii="Times New Roman" w:hAnsi="Times New Roman" w:cs="Times New Roman"/>
          <w:lang w:val="en-IN"/>
        </w:rPr>
      </w:pPr>
      <w:r w:rsidRPr="00F1129B">
        <w:rPr>
          <w:rFonts w:ascii="Times New Roman" w:hAnsi="Times New Roman" w:cs="Times New Roman"/>
          <w:b/>
          <w:bCs/>
          <w:lang w:val="en-IN"/>
        </w:rPr>
        <w:t>Other sources remain negligible:</w:t>
      </w:r>
      <w:r w:rsidRPr="00F1129B">
        <w:rPr>
          <w:rFonts w:ascii="Times New Roman" w:hAnsi="Times New Roman" w:cs="Times New Roman"/>
          <w:lang w:val="en-IN"/>
        </w:rPr>
        <w:t xml:space="preserve"> Even at its 2010-11 high (~₹8 K lakh) “Other” never reaches 15 % of State money, indicating limited success in diversifying revenue.</w:t>
      </w:r>
    </w:p>
    <w:p w14:paraId="2AC3657C" w14:textId="77777777" w:rsidR="00121213" w:rsidRPr="00F1129B" w:rsidRDefault="00121213" w:rsidP="00121213">
      <w:pPr>
        <w:numPr>
          <w:ilvl w:val="0"/>
          <w:numId w:val="34"/>
        </w:numPr>
        <w:rPr>
          <w:rFonts w:ascii="Times New Roman" w:hAnsi="Times New Roman" w:cs="Times New Roman"/>
          <w:lang w:val="en-IN"/>
        </w:rPr>
      </w:pPr>
      <w:r w:rsidRPr="00F1129B">
        <w:rPr>
          <w:rFonts w:ascii="Times New Roman" w:hAnsi="Times New Roman" w:cs="Times New Roman"/>
          <w:b/>
          <w:bCs/>
          <w:lang w:val="en-IN"/>
        </w:rPr>
        <w:t>Average lines reveal under-performance:</w:t>
      </w:r>
      <w:r w:rsidRPr="00F1129B">
        <w:rPr>
          <w:rFonts w:ascii="Times New Roman" w:hAnsi="Times New Roman" w:cs="Times New Roman"/>
          <w:lang w:val="en-IN"/>
        </w:rPr>
        <w:t xml:space="preserve"> All three bands sit well above their dotted “Average” lines only in 2009-12, flagging earlier years as under-funded relative to the long-run norm.</w:t>
      </w:r>
    </w:p>
    <w:p w14:paraId="06C0E66B" w14:textId="77777777" w:rsidR="00121213" w:rsidRPr="00F1129B" w:rsidRDefault="00121213" w:rsidP="00121213">
      <w:pPr>
        <w:ind w:left="720"/>
        <w:rPr>
          <w:rFonts w:ascii="Times New Roman" w:hAnsi="Times New Roman" w:cs="Times New Roman"/>
          <w:lang w:val="en-IN"/>
        </w:rPr>
      </w:pPr>
    </w:p>
    <w:p w14:paraId="029EB210" w14:textId="5E2EAF70" w:rsidR="009A33D0" w:rsidRPr="009A33D0" w:rsidRDefault="00845BFD" w:rsidP="009A33D0">
      <w:pPr>
        <w:rPr>
          <w:rFonts w:ascii="Times New Roman" w:hAnsi="Times New Roman" w:cs="Times New Roman"/>
          <w:b/>
          <w:bCs/>
          <w:u w:val="single"/>
          <w:lang w:val="en-IN"/>
        </w:rPr>
      </w:pPr>
      <w:r w:rsidRPr="009A33D0">
        <w:rPr>
          <w:rFonts w:ascii="Times New Roman" w:hAnsi="Times New Roman" w:cs="Times New Roman"/>
          <w:b/>
          <w:bCs/>
          <w:u w:val="single"/>
          <w:lang w:val="en-IN"/>
        </w:rPr>
        <w:t>Data Narrative: Agricultural University Funding Analysis (1998–2013)</w:t>
      </w:r>
    </w:p>
    <w:p w14:paraId="2198C3BE" w14:textId="77777777" w:rsidR="009A33D0" w:rsidRPr="00F1129B" w:rsidRDefault="009A33D0" w:rsidP="009A33D0">
      <w:pPr>
        <w:pStyle w:val="NormalWeb"/>
        <w:numPr>
          <w:ilvl w:val="0"/>
          <w:numId w:val="42"/>
        </w:numPr>
        <w:rPr>
          <w:sz w:val="22"/>
          <w:szCs w:val="22"/>
        </w:rPr>
      </w:pPr>
      <w:r w:rsidRPr="00F1129B">
        <w:rPr>
          <w:rStyle w:val="Strong"/>
          <w:sz w:val="22"/>
          <w:szCs w:val="22"/>
        </w:rPr>
        <w:t>Top Recipients</w:t>
      </w:r>
      <w:r w:rsidRPr="00F1129B">
        <w:rPr>
          <w:sz w:val="22"/>
          <w:szCs w:val="22"/>
        </w:rPr>
        <w:t>:</w:t>
      </w:r>
      <w:r w:rsidRPr="00F1129B">
        <w:rPr>
          <w:sz w:val="22"/>
          <w:szCs w:val="22"/>
        </w:rPr>
        <w:br/>
        <w:t>Marathwada Agricultural University received the highest funding, with allocations heavily concentrated among the top 3–5 universities.</w:t>
      </w:r>
    </w:p>
    <w:p w14:paraId="7C9A08F7" w14:textId="77777777" w:rsidR="009A33D0" w:rsidRPr="00F1129B" w:rsidRDefault="009A33D0" w:rsidP="009A33D0">
      <w:pPr>
        <w:pStyle w:val="NormalWeb"/>
        <w:numPr>
          <w:ilvl w:val="0"/>
          <w:numId w:val="42"/>
        </w:numPr>
        <w:rPr>
          <w:sz w:val="22"/>
          <w:szCs w:val="22"/>
        </w:rPr>
      </w:pPr>
      <w:r w:rsidRPr="00F1129B">
        <w:rPr>
          <w:rStyle w:val="Strong"/>
          <w:sz w:val="22"/>
          <w:szCs w:val="22"/>
        </w:rPr>
        <w:t>Funding vs. Spending</w:t>
      </w:r>
      <w:r w:rsidRPr="00F1129B">
        <w:rPr>
          <w:sz w:val="22"/>
          <w:szCs w:val="22"/>
        </w:rPr>
        <w:t>:</w:t>
      </w:r>
      <w:r w:rsidRPr="00F1129B">
        <w:rPr>
          <w:sz w:val="22"/>
          <w:szCs w:val="22"/>
        </w:rPr>
        <w:br/>
        <w:t xml:space="preserve">Both allocation and expenditure surged after 2005–06, peaking in 2011–12. However, spending often </w:t>
      </w:r>
      <w:proofErr w:type="gramStart"/>
      <w:r w:rsidRPr="00F1129B">
        <w:rPr>
          <w:sz w:val="22"/>
          <w:szCs w:val="22"/>
        </w:rPr>
        <w:t>lagged behind</w:t>
      </w:r>
      <w:proofErr w:type="gramEnd"/>
      <w:r w:rsidRPr="00F1129B">
        <w:rPr>
          <w:sz w:val="22"/>
          <w:szCs w:val="22"/>
        </w:rPr>
        <w:t xml:space="preserve"> allocation, hinting at underutilization.</w:t>
      </w:r>
    </w:p>
    <w:p w14:paraId="3C56EDBB" w14:textId="77777777" w:rsidR="009A33D0" w:rsidRPr="00F1129B" w:rsidRDefault="009A33D0" w:rsidP="009A33D0">
      <w:pPr>
        <w:pStyle w:val="NormalWeb"/>
        <w:numPr>
          <w:ilvl w:val="0"/>
          <w:numId w:val="42"/>
        </w:numPr>
        <w:rPr>
          <w:sz w:val="22"/>
          <w:szCs w:val="22"/>
        </w:rPr>
      </w:pPr>
      <w:r w:rsidRPr="00F1129B">
        <w:rPr>
          <w:rStyle w:val="Strong"/>
          <w:sz w:val="22"/>
          <w:szCs w:val="22"/>
        </w:rPr>
        <w:t>Funding Sources</w:t>
      </w:r>
      <w:r w:rsidRPr="00F1129B">
        <w:rPr>
          <w:sz w:val="22"/>
          <w:szCs w:val="22"/>
        </w:rPr>
        <w:t>:</w:t>
      </w:r>
      <w:r w:rsidRPr="00F1129B">
        <w:rPr>
          <w:sz w:val="22"/>
          <w:szCs w:val="22"/>
        </w:rPr>
        <w:br/>
        <w:t>State governments contributed the most; ICAR funding remained steady but modest. Other sources had minimal impact.</w:t>
      </w:r>
    </w:p>
    <w:p w14:paraId="6DEAFE77" w14:textId="77777777" w:rsidR="009A33D0" w:rsidRPr="00F1129B" w:rsidRDefault="009A33D0" w:rsidP="009A33D0">
      <w:pPr>
        <w:pStyle w:val="NormalWeb"/>
        <w:numPr>
          <w:ilvl w:val="0"/>
          <w:numId w:val="42"/>
        </w:numPr>
        <w:rPr>
          <w:sz w:val="22"/>
          <w:szCs w:val="22"/>
        </w:rPr>
      </w:pPr>
      <w:r w:rsidRPr="00F1129B">
        <w:rPr>
          <w:rStyle w:val="Strong"/>
          <w:sz w:val="22"/>
          <w:szCs w:val="22"/>
        </w:rPr>
        <w:t>Interactive Features</w:t>
      </w:r>
      <w:r w:rsidRPr="00F1129B">
        <w:rPr>
          <w:sz w:val="22"/>
          <w:szCs w:val="22"/>
        </w:rPr>
        <w:t>:</w:t>
      </w:r>
      <w:r w:rsidRPr="00F1129B">
        <w:rPr>
          <w:sz w:val="22"/>
          <w:szCs w:val="22"/>
        </w:rPr>
        <w:br/>
        <w:t>Users can filter by state, adjust the number of universities shown, and add custom reference lines. Tooltips provide year-wise insights including unspent funds and utilization percentage.</w:t>
      </w:r>
    </w:p>
    <w:p w14:paraId="31C9B104" w14:textId="77777777" w:rsidR="009A33D0" w:rsidRDefault="009A33D0" w:rsidP="009A33D0">
      <w:pPr>
        <w:pStyle w:val="ListParagraph"/>
        <w:ind w:left="284"/>
        <w:rPr>
          <w:rFonts w:ascii="Times New Roman" w:hAnsi="Times New Roman" w:cs="Times New Roman"/>
          <w:b/>
          <w:bCs/>
          <w:lang w:val="en-IN"/>
        </w:rPr>
      </w:pPr>
    </w:p>
    <w:p w14:paraId="342778D6" w14:textId="63231000" w:rsidR="00FB3F68" w:rsidRPr="00F1129B" w:rsidRDefault="00FB3F68" w:rsidP="00FB3F68">
      <w:pPr>
        <w:pStyle w:val="ListParagraph"/>
        <w:ind w:left="284"/>
        <w:rPr>
          <w:rFonts w:ascii="Times New Roman" w:hAnsi="Times New Roman" w:cs="Times New Roman"/>
          <w:b/>
          <w:bCs/>
          <w:lang w:val="en-IN"/>
        </w:rPr>
      </w:pPr>
      <w:r w:rsidRPr="00FB3F68">
        <w:rPr>
          <w:rFonts w:ascii="Times New Roman" w:hAnsi="Times New Roman" w:cs="Times New Roman"/>
          <w:b/>
          <w:bCs/>
          <w:noProof/>
          <w:lang w:val="en-IN"/>
        </w:rPr>
        <w:lastRenderedPageBreak/>
        <w:drawing>
          <wp:inline distT="0" distB="0" distL="0" distR="0" wp14:anchorId="5329CBB5" wp14:editId="021E6849">
            <wp:extent cx="6284595" cy="3860800"/>
            <wp:effectExtent l="19050" t="19050" r="20955" b="25400"/>
            <wp:docPr id="917311121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11121" name="Picture 1" descr="A screenshot of a graph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7138" cy="3886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2D12A2" w14:textId="77777777" w:rsidR="003E3ECA" w:rsidRDefault="003E3ECA" w:rsidP="003E3ECA">
      <w:pPr>
        <w:pStyle w:val="NormalWeb"/>
        <w:rPr>
          <w:sz w:val="22"/>
          <w:szCs w:val="22"/>
        </w:rPr>
      </w:pPr>
      <w:r w:rsidRPr="00F1129B">
        <w:rPr>
          <w:sz w:val="22"/>
          <w:szCs w:val="22"/>
        </w:rPr>
        <w:t xml:space="preserve">This interactive Tableau dashboard </w:t>
      </w:r>
      <w:proofErr w:type="spellStart"/>
      <w:r w:rsidRPr="00F1129B">
        <w:rPr>
          <w:sz w:val="22"/>
          <w:szCs w:val="22"/>
        </w:rPr>
        <w:t>analyzes</w:t>
      </w:r>
      <w:proofErr w:type="spellEnd"/>
      <w:r w:rsidRPr="00F1129B">
        <w:rPr>
          <w:sz w:val="22"/>
          <w:szCs w:val="22"/>
        </w:rPr>
        <w:t xml:space="preserve"> funding trends across India’s State Agricultural Universities (SAUs) over 15 years.</w:t>
      </w:r>
    </w:p>
    <w:p w14:paraId="611E041C" w14:textId="17999C0B" w:rsidR="00147911" w:rsidRPr="00F1129B" w:rsidRDefault="007F4029" w:rsidP="003E3ECA">
      <w:pPr>
        <w:pStyle w:val="NormalWeb"/>
        <w:rPr>
          <w:sz w:val="22"/>
          <w:szCs w:val="22"/>
        </w:rPr>
      </w:pPr>
      <w:r>
        <w:rPr>
          <w:sz w:val="22"/>
          <w:szCs w:val="22"/>
        </w:rPr>
        <w:t>Tableau Dataset(.csv)</w:t>
      </w:r>
      <w:r w:rsidR="00147911">
        <w:rPr>
          <w:sz w:val="22"/>
          <w:szCs w:val="22"/>
        </w:rPr>
        <w:t>:</w:t>
      </w:r>
      <w:r>
        <w:rPr>
          <w:sz w:val="22"/>
          <w:szCs w:val="22"/>
        </w:rPr>
        <w:t xml:space="preserve"> </w:t>
      </w:r>
      <w:hyperlink r:id="rId10" w:history="1">
        <w:r w:rsidR="00147911" w:rsidRPr="00147911">
          <w:rPr>
            <w:rStyle w:val="Hyperlink"/>
            <w:sz w:val="22"/>
            <w:szCs w:val="22"/>
          </w:rPr>
          <w:t>PreProcesssed_Total_budget_and_expenditure_of_State_Agricultural_Universities.csv</w:t>
        </w:r>
      </w:hyperlink>
    </w:p>
    <w:p w14:paraId="2A6FD38F" w14:textId="6F46F83E" w:rsidR="00845BFD" w:rsidRPr="00F1129B" w:rsidRDefault="00845BFD" w:rsidP="00845BFD">
      <w:pPr>
        <w:rPr>
          <w:rFonts w:ascii="Times New Roman" w:hAnsi="Times New Roman" w:cs="Times New Roman"/>
          <w:b/>
          <w:bCs/>
          <w:u w:val="single"/>
          <w:lang w:val="en-IN"/>
        </w:rPr>
      </w:pPr>
      <w:r w:rsidRPr="00F1129B">
        <w:rPr>
          <w:rFonts w:ascii="Times New Roman" w:hAnsi="Times New Roman" w:cs="Times New Roman"/>
          <w:b/>
          <w:bCs/>
          <w:lang w:val="en-IN"/>
        </w:rPr>
        <w:t> </w:t>
      </w:r>
      <w:r w:rsidRPr="00F1129B">
        <w:rPr>
          <w:rFonts w:ascii="Times New Roman" w:hAnsi="Times New Roman" w:cs="Times New Roman"/>
          <w:b/>
          <w:bCs/>
          <w:u w:val="single"/>
          <w:lang w:val="en-IN"/>
        </w:rPr>
        <w:t xml:space="preserve">Key </w:t>
      </w:r>
      <w:r w:rsidR="003E3ECA" w:rsidRPr="00F1129B">
        <w:rPr>
          <w:rFonts w:ascii="Times New Roman" w:hAnsi="Times New Roman" w:cs="Times New Roman"/>
          <w:b/>
          <w:bCs/>
          <w:u w:val="single"/>
          <w:lang w:val="en-IN"/>
        </w:rPr>
        <w:t>Insight</w:t>
      </w:r>
      <w:r w:rsidR="003075DD" w:rsidRPr="00F1129B">
        <w:rPr>
          <w:rFonts w:ascii="Times New Roman" w:hAnsi="Times New Roman" w:cs="Times New Roman"/>
          <w:b/>
          <w:bCs/>
          <w:u w:val="single"/>
          <w:lang w:val="en-IN"/>
        </w:rPr>
        <w:t>:</w:t>
      </w:r>
    </w:p>
    <w:p w14:paraId="5E8BD263" w14:textId="3E862CDD" w:rsidR="00D92639" w:rsidRPr="00FB3F68" w:rsidRDefault="003E3ECA" w:rsidP="00845BFD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b/>
          <w:bCs/>
          <w:u w:val="single"/>
          <w:lang w:val="en-IN"/>
        </w:rPr>
      </w:pPr>
      <w:r w:rsidRPr="00F1129B">
        <w:rPr>
          <w:rFonts w:ascii="Times New Roman" w:hAnsi="Times New Roman" w:cs="Times New Roman"/>
        </w:rPr>
        <w:t>Rapid budget growth didn’t always translate into proportional expenditure. A few universities dominate the funding landscape, with room to explore equity and efficiency in allocation.</w:t>
      </w:r>
    </w:p>
    <w:p w14:paraId="1F13D2FE" w14:textId="3C73F58C" w:rsidR="00845BFD" w:rsidRPr="00F1129B" w:rsidRDefault="00845BFD" w:rsidP="00845BFD">
      <w:pPr>
        <w:numPr>
          <w:ilvl w:val="0"/>
          <w:numId w:val="41"/>
        </w:numPr>
        <w:rPr>
          <w:rFonts w:ascii="Times New Roman" w:hAnsi="Times New Roman" w:cs="Times New Roman"/>
          <w:lang w:val="en-IN"/>
        </w:rPr>
      </w:pPr>
      <w:r w:rsidRPr="00F1129B">
        <w:rPr>
          <w:rFonts w:ascii="Times New Roman" w:hAnsi="Times New Roman" w:cs="Times New Roman"/>
          <w:lang w:val="en-IN"/>
        </w:rPr>
        <w:t xml:space="preserve">Funding has grown exponentially post-2005, but </w:t>
      </w:r>
      <w:r w:rsidRPr="00F1129B">
        <w:rPr>
          <w:rFonts w:ascii="Times New Roman" w:hAnsi="Times New Roman" w:cs="Times New Roman"/>
          <w:b/>
          <w:bCs/>
          <w:lang w:val="en-IN"/>
        </w:rPr>
        <w:t>expenditure efficiency varies</w:t>
      </w:r>
      <w:r w:rsidRPr="00F1129B">
        <w:rPr>
          <w:rFonts w:ascii="Times New Roman" w:hAnsi="Times New Roman" w:cs="Times New Roman"/>
          <w:lang w:val="en-IN"/>
        </w:rPr>
        <w:t>.</w:t>
      </w:r>
    </w:p>
    <w:p w14:paraId="56921D09" w14:textId="479FDED7" w:rsidR="00845BFD" w:rsidRPr="00F1129B" w:rsidRDefault="00845BFD" w:rsidP="00845BFD">
      <w:pPr>
        <w:numPr>
          <w:ilvl w:val="0"/>
          <w:numId w:val="41"/>
        </w:numPr>
        <w:rPr>
          <w:rFonts w:ascii="Times New Roman" w:hAnsi="Times New Roman" w:cs="Times New Roman"/>
          <w:lang w:val="en-IN"/>
        </w:rPr>
      </w:pPr>
      <w:r w:rsidRPr="00F1129B">
        <w:rPr>
          <w:rFonts w:ascii="Times New Roman" w:hAnsi="Times New Roman" w:cs="Times New Roman"/>
          <w:lang w:val="en-IN"/>
        </w:rPr>
        <w:t xml:space="preserve">A few universities receive a </w:t>
      </w:r>
      <w:r w:rsidRPr="00F1129B">
        <w:rPr>
          <w:rFonts w:ascii="Times New Roman" w:hAnsi="Times New Roman" w:cs="Times New Roman"/>
          <w:b/>
          <w:bCs/>
          <w:lang w:val="en-IN"/>
        </w:rPr>
        <w:t>disproportionate share of total funds</w:t>
      </w:r>
      <w:r w:rsidRPr="00F1129B">
        <w:rPr>
          <w:rFonts w:ascii="Times New Roman" w:hAnsi="Times New Roman" w:cs="Times New Roman"/>
          <w:lang w:val="en-IN"/>
        </w:rPr>
        <w:t xml:space="preserve">, indicating </w:t>
      </w:r>
      <w:r w:rsidRPr="00F1129B">
        <w:rPr>
          <w:rFonts w:ascii="Times New Roman" w:hAnsi="Times New Roman" w:cs="Times New Roman"/>
          <w:b/>
          <w:bCs/>
          <w:lang w:val="en-IN"/>
        </w:rPr>
        <w:t>possible inequities</w:t>
      </w:r>
      <w:r w:rsidRPr="00F1129B">
        <w:rPr>
          <w:rFonts w:ascii="Times New Roman" w:hAnsi="Times New Roman" w:cs="Times New Roman"/>
          <w:lang w:val="en-IN"/>
        </w:rPr>
        <w:t xml:space="preserve"> in allocation.</w:t>
      </w:r>
    </w:p>
    <w:p w14:paraId="3E70B60A" w14:textId="5B34B5EC" w:rsidR="00845BFD" w:rsidRPr="00F1129B" w:rsidRDefault="00845BFD" w:rsidP="00845BFD">
      <w:pPr>
        <w:numPr>
          <w:ilvl w:val="0"/>
          <w:numId w:val="41"/>
        </w:numPr>
        <w:rPr>
          <w:rFonts w:ascii="Times New Roman" w:hAnsi="Times New Roman" w:cs="Times New Roman"/>
          <w:lang w:val="en-IN"/>
        </w:rPr>
      </w:pPr>
      <w:r w:rsidRPr="00F1129B">
        <w:rPr>
          <w:rFonts w:ascii="Times New Roman" w:hAnsi="Times New Roman" w:cs="Times New Roman"/>
          <w:b/>
          <w:bCs/>
          <w:lang w:val="en-IN"/>
        </w:rPr>
        <w:t>State governments</w:t>
      </w:r>
      <w:r w:rsidRPr="00F1129B">
        <w:rPr>
          <w:rFonts w:ascii="Times New Roman" w:hAnsi="Times New Roman" w:cs="Times New Roman"/>
          <w:lang w:val="en-IN"/>
        </w:rPr>
        <w:t xml:space="preserve"> are the </w:t>
      </w:r>
      <w:r w:rsidRPr="00F1129B">
        <w:rPr>
          <w:rFonts w:ascii="Times New Roman" w:hAnsi="Times New Roman" w:cs="Times New Roman"/>
          <w:b/>
          <w:bCs/>
          <w:lang w:val="en-IN"/>
        </w:rPr>
        <w:t>primary funders</w:t>
      </w:r>
      <w:r w:rsidRPr="00F1129B">
        <w:rPr>
          <w:rFonts w:ascii="Times New Roman" w:hAnsi="Times New Roman" w:cs="Times New Roman"/>
          <w:lang w:val="en-IN"/>
        </w:rPr>
        <w:t>, with ICAR playing a supplemental role.</w:t>
      </w:r>
    </w:p>
    <w:p w14:paraId="05047A53" w14:textId="77777777" w:rsidR="00845BFD" w:rsidRPr="00F1129B" w:rsidRDefault="00845BFD" w:rsidP="00845BFD">
      <w:pPr>
        <w:numPr>
          <w:ilvl w:val="0"/>
          <w:numId w:val="41"/>
        </w:numPr>
        <w:rPr>
          <w:rFonts w:ascii="Times New Roman" w:hAnsi="Times New Roman" w:cs="Times New Roman"/>
          <w:lang w:val="en-IN"/>
        </w:rPr>
      </w:pPr>
      <w:r w:rsidRPr="00F1129B">
        <w:rPr>
          <w:rFonts w:ascii="Times New Roman" w:hAnsi="Times New Roman" w:cs="Times New Roman"/>
          <w:lang w:val="en-IN"/>
        </w:rPr>
        <w:t xml:space="preserve">Custom controls and filters enhance interpretability, making the dashboard </w:t>
      </w:r>
      <w:r w:rsidRPr="00F1129B">
        <w:rPr>
          <w:rFonts w:ascii="Times New Roman" w:hAnsi="Times New Roman" w:cs="Times New Roman"/>
          <w:b/>
          <w:bCs/>
          <w:lang w:val="en-IN"/>
        </w:rPr>
        <w:t>both descriptive and diagnostic</w:t>
      </w:r>
      <w:r w:rsidRPr="00F1129B">
        <w:rPr>
          <w:rFonts w:ascii="Times New Roman" w:hAnsi="Times New Roman" w:cs="Times New Roman"/>
          <w:lang w:val="en-IN"/>
        </w:rPr>
        <w:t>.</w:t>
      </w:r>
    </w:p>
    <w:p w14:paraId="0E178129" w14:textId="77777777" w:rsidR="00845BFD" w:rsidRPr="00F1129B" w:rsidRDefault="00845BFD" w:rsidP="00845BFD">
      <w:pPr>
        <w:rPr>
          <w:rFonts w:ascii="Times New Roman" w:hAnsi="Times New Roman" w:cs="Times New Roman"/>
          <w:lang w:val="en-IN"/>
        </w:rPr>
      </w:pPr>
    </w:p>
    <w:p w14:paraId="569FD3EB" w14:textId="77777777" w:rsidR="00121213" w:rsidRPr="00F1129B" w:rsidRDefault="00121213" w:rsidP="00121213">
      <w:pPr>
        <w:ind w:left="720"/>
        <w:rPr>
          <w:rFonts w:ascii="Times New Roman" w:hAnsi="Times New Roman" w:cs="Times New Roman"/>
          <w:lang w:val="en-IN"/>
        </w:rPr>
      </w:pPr>
    </w:p>
    <w:p w14:paraId="34783AB5" w14:textId="77777777" w:rsidR="00313A7B" w:rsidRPr="00F1129B" w:rsidRDefault="00313A7B" w:rsidP="001C650D">
      <w:pPr>
        <w:ind w:left="426"/>
        <w:rPr>
          <w:rFonts w:ascii="Times New Roman" w:hAnsi="Times New Roman" w:cs="Times New Roman"/>
        </w:rPr>
      </w:pPr>
    </w:p>
    <w:sectPr w:rsidR="00313A7B" w:rsidRPr="00F1129B" w:rsidSect="00227227">
      <w:foot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B0FE3F" w14:textId="77777777" w:rsidR="008C2B1F" w:rsidRDefault="008C2B1F" w:rsidP="00432E06">
      <w:pPr>
        <w:spacing w:line="240" w:lineRule="auto"/>
      </w:pPr>
      <w:r>
        <w:separator/>
      </w:r>
    </w:p>
  </w:endnote>
  <w:endnote w:type="continuationSeparator" w:id="0">
    <w:p w14:paraId="292B7338" w14:textId="77777777" w:rsidR="008C2B1F" w:rsidRDefault="008C2B1F" w:rsidP="00432E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2CC461E-ACFD-44A4-82E7-E6541029BD7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43595C7F-FFBC-4A51-BA8D-F206223B7FA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291338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BE4122" w14:textId="630A6A8F" w:rsidR="00432E06" w:rsidRDefault="00432E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B0AB93" w14:textId="77777777" w:rsidR="00432E06" w:rsidRDefault="00432E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B05039" w14:textId="77777777" w:rsidR="008C2B1F" w:rsidRDefault="008C2B1F" w:rsidP="00432E06">
      <w:pPr>
        <w:spacing w:line="240" w:lineRule="auto"/>
      </w:pPr>
      <w:r>
        <w:separator/>
      </w:r>
    </w:p>
  </w:footnote>
  <w:footnote w:type="continuationSeparator" w:id="0">
    <w:p w14:paraId="3E94014B" w14:textId="77777777" w:rsidR="008C2B1F" w:rsidRDefault="008C2B1F" w:rsidP="00432E0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903CB"/>
    <w:multiLevelType w:val="multilevel"/>
    <w:tmpl w:val="7D269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A4607B"/>
    <w:multiLevelType w:val="multilevel"/>
    <w:tmpl w:val="4852E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D61964"/>
    <w:multiLevelType w:val="multilevel"/>
    <w:tmpl w:val="89C02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8C66ED"/>
    <w:multiLevelType w:val="multilevel"/>
    <w:tmpl w:val="BE2C56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99A04F4"/>
    <w:multiLevelType w:val="multilevel"/>
    <w:tmpl w:val="7DD826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A190A7B"/>
    <w:multiLevelType w:val="multilevel"/>
    <w:tmpl w:val="7918FF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0182054"/>
    <w:multiLevelType w:val="multilevel"/>
    <w:tmpl w:val="49CC7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8143C2"/>
    <w:multiLevelType w:val="hybridMultilevel"/>
    <w:tmpl w:val="FCEA268C"/>
    <w:lvl w:ilvl="0" w:tplc="BCE666CC">
      <w:start w:val="6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14DE4866"/>
    <w:multiLevelType w:val="multilevel"/>
    <w:tmpl w:val="8160E1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56B6D99"/>
    <w:multiLevelType w:val="multilevel"/>
    <w:tmpl w:val="A65ED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C80530"/>
    <w:multiLevelType w:val="multilevel"/>
    <w:tmpl w:val="51A49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BB489E"/>
    <w:multiLevelType w:val="hybridMultilevel"/>
    <w:tmpl w:val="03A2A566"/>
    <w:lvl w:ilvl="0" w:tplc="234C8E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D6861CB"/>
    <w:multiLevelType w:val="multilevel"/>
    <w:tmpl w:val="D4BA75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49C371E"/>
    <w:multiLevelType w:val="multilevel"/>
    <w:tmpl w:val="83860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9C7335"/>
    <w:multiLevelType w:val="hybridMultilevel"/>
    <w:tmpl w:val="B96616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9E1F95"/>
    <w:multiLevelType w:val="multilevel"/>
    <w:tmpl w:val="7C5084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7F932C4"/>
    <w:multiLevelType w:val="multilevel"/>
    <w:tmpl w:val="8C40D8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A122E59"/>
    <w:multiLevelType w:val="hybridMultilevel"/>
    <w:tmpl w:val="8E7A8314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8" w15:restartNumberingAfterBreak="0">
    <w:nsid w:val="2E022F43"/>
    <w:multiLevelType w:val="multilevel"/>
    <w:tmpl w:val="B45C9F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20B1D45"/>
    <w:multiLevelType w:val="multilevel"/>
    <w:tmpl w:val="14D6D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E44F4D"/>
    <w:multiLevelType w:val="multilevel"/>
    <w:tmpl w:val="1A34A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801DD0"/>
    <w:multiLevelType w:val="multilevel"/>
    <w:tmpl w:val="EA0C8E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59428C0"/>
    <w:multiLevelType w:val="multilevel"/>
    <w:tmpl w:val="F354A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BA3627"/>
    <w:multiLevelType w:val="hybridMultilevel"/>
    <w:tmpl w:val="C39CA8B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A021FA1"/>
    <w:multiLevelType w:val="hybridMultilevel"/>
    <w:tmpl w:val="5874E9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4871D2"/>
    <w:multiLevelType w:val="multilevel"/>
    <w:tmpl w:val="96363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3014702"/>
    <w:multiLevelType w:val="multilevel"/>
    <w:tmpl w:val="BC8A7B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373558A"/>
    <w:multiLevelType w:val="multilevel"/>
    <w:tmpl w:val="7BC25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8040B2F"/>
    <w:multiLevelType w:val="multilevel"/>
    <w:tmpl w:val="5E8814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B570511"/>
    <w:multiLevelType w:val="hybridMultilevel"/>
    <w:tmpl w:val="FED00F5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6392260"/>
    <w:multiLevelType w:val="multilevel"/>
    <w:tmpl w:val="E74AA4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78B2610"/>
    <w:multiLevelType w:val="multilevel"/>
    <w:tmpl w:val="E5A45A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83E7FD0"/>
    <w:multiLevelType w:val="multilevel"/>
    <w:tmpl w:val="42169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BA04B7D"/>
    <w:multiLevelType w:val="multilevel"/>
    <w:tmpl w:val="85A80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F896502"/>
    <w:multiLevelType w:val="hybridMultilevel"/>
    <w:tmpl w:val="8BE696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B413A7"/>
    <w:multiLevelType w:val="hybridMultilevel"/>
    <w:tmpl w:val="48F2C19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8F53A2F"/>
    <w:multiLevelType w:val="hybridMultilevel"/>
    <w:tmpl w:val="BE52D6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9A5AC4"/>
    <w:multiLevelType w:val="multilevel"/>
    <w:tmpl w:val="983011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EEE6E67"/>
    <w:multiLevelType w:val="hybridMultilevel"/>
    <w:tmpl w:val="1C9E25A0"/>
    <w:lvl w:ilvl="0" w:tplc="4009000B">
      <w:start w:val="1"/>
      <w:numFmt w:val="bullet"/>
      <w:lvlText w:val=""/>
      <w:lvlJc w:val="left"/>
      <w:pPr>
        <w:ind w:left="688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935A7D"/>
    <w:multiLevelType w:val="multilevel"/>
    <w:tmpl w:val="672A30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33B7999"/>
    <w:multiLevelType w:val="multilevel"/>
    <w:tmpl w:val="63427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3DD3159"/>
    <w:multiLevelType w:val="hybridMultilevel"/>
    <w:tmpl w:val="B0786730"/>
    <w:lvl w:ilvl="0" w:tplc="3C3423E0">
      <w:start w:val="6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2C005E"/>
    <w:multiLevelType w:val="multilevel"/>
    <w:tmpl w:val="5FEE8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8FB0A26"/>
    <w:multiLevelType w:val="multilevel"/>
    <w:tmpl w:val="2F006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92565CE"/>
    <w:multiLevelType w:val="hybridMultilevel"/>
    <w:tmpl w:val="F594E9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447862"/>
    <w:multiLevelType w:val="multilevel"/>
    <w:tmpl w:val="53FC7A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7E4E4BB4"/>
    <w:multiLevelType w:val="hybridMultilevel"/>
    <w:tmpl w:val="FB4AEBA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1779746">
    <w:abstractNumId w:val="8"/>
  </w:num>
  <w:num w:numId="2" w16cid:durableId="1528716546">
    <w:abstractNumId w:val="26"/>
  </w:num>
  <w:num w:numId="3" w16cid:durableId="1308438705">
    <w:abstractNumId w:val="12"/>
  </w:num>
  <w:num w:numId="4" w16cid:durableId="927225818">
    <w:abstractNumId w:val="45"/>
  </w:num>
  <w:num w:numId="5" w16cid:durableId="788281240">
    <w:abstractNumId w:val="21"/>
  </w:num>
  <w:num w:numId="6" w16cid:durableId="1755082020">
    <w:abstractNumId w:val="16"/>
  </w:num>
  <w:num w:numId="7" w16cid:durableId="1158380398">
    <w:abstractNumId w:val="32"/>
  </w:num>
  <w:num w:numId="8" w16cid:durableId="2008092253">
    <w:abstractNumId w:val="39"/>
  </w:num>
  <w:num w:numId="9" w16cid:durableId="995183811">
    <w:abstractNumId w:val="15"/>
  </w:num>
  <w:num w:numId="10" w16cid:durableId="1666012609">
    <w:abstractNumId w:val="18"/>
  </w:num>
  <w:num w:numId="11" w16cid:durableId="2066097137">
    <w:abstractNumId w:val="5"/>
  </w:num>
  <w:num w:numId="12" w16cid:durableId="42219046">
    <w:abstractNumId w:val="30"/>
  </w:num>
  <w:num w:numId="13" w16cid:durableId="1489010125">
    <w:abstractNumId w:val="37"/>
  </w:num>
  <w:num w:numId="14" w16cid:durableId="433794825">
    <w:abstractNumId w:val="3"/>
  </w:num>
  <w:num w:numId="15" w16cid:durableId="1701394498">
    <w:abstractNumId w:val="31"/>
  </w:num>
  <w:num w:numId="16" w16cid:durableId="629869029">
    <w:abstractNumId w:val="28"/>
  </w:num>
  <w:num w:numId="17" w16cid:durableId="472143769">
    <w:abstractNumId w:val="4"/>
  </w:num>
  <w:num w:numId="18" w16cid:durableId="682517955">
    <w:abstractNumId w:val="17"/>
  </w:num>
  <w:num w:numId="19" w16cid:durableId="866333277">
    <w:abstractNumId w:val="7"/>
  </w:num>
  <w:num w:numId="20" w16cid:durableId="580455227">
    <w:abstractNumId w:val="41"/>
  </w:num>
  <w:num w:numId="21" w16cid:durableId="1590577860">
    <w:abstractNumId w:val="44"/>
  </w:num>
  <w:num w:numId="22" w16cid:durableId="449518289">
    <w:abstractNumId w:val="38"/>
  </w:num>
  <w:num w:numId="23" w16cid:durableId="402486787">
    <w:abstractNumId w:val="11"/>
  </w:num>
  <w:num w:numId="24" w16cid:durableId="2043896046">
    <w:abstractNumId w:val="14"/>
  </w:num>
  <w:num w:numId="25" w16cid:durableId="1996058125">
    <w:abstractNumId w:val="24"/>
  </w:num>
  <w:num w:numId="26" w16cid:durableId="2042125607">
    <w:abstractNumId w:val="46"/>
  </w:num>
  <w:num w:numId="27" w16cid:durableId="1511723610">
    <w:abstractNumId w:val="1"/>
  </w:num>
  <w:num w:numId="28" w16cid:durableId="567500147">
    <w:abstractNumId w:val="25"/>
  </w:num>
  <w:num w:numId="29" w16cid:durableId="1298023223">
    <w:abstractNumId w:val="33"/>
  </w:num>
  <w:num w:numId="30" w16cid:durableId="1140613427">
    <w:abstractNumId w:val="42"/>
  </w:num>
  <w:num w:numId="31" w16cid:durableId="523909611">
    <w:abstractNumId w:val="0"/>
  </w:num>
  <w:num w:numId="32" w16cid:durableId="697312843">
    <w:abstractNumId w:val="19"/>
  </w:num>
  <w:num w:numId="33" w16cid:durableId="1059741003">
    <w:abstractNumId w:val="23"/>
  </w:num>
  <w:num w:numId="34" w16cid:durableId="2105298434">
    <w:abstractNumId w:val="13"/>
  </w:num>
  <w:num w:numId="35" w16cid:durableId="1586954260">
    <w:abstractNumId w:val="27"/>
  </w:num>
  <w:num w:numId="36" w16cid:durableId="1878204421">
    <w:abstractNumId w:val="6"/>
  </w:num>
  <w:num w:numId="37" w16cid:durableId="1295327911">
    <w:abstractNumId w:val="9"/>
  </w:num>
  <w:num w:numId="38" w16cid:durableId="956837057">
    <w:abstractNumId w:val="2"/>
  </w:num>
  <w:num w:numId="39" w16cid:durableId="1209148067">
    <w:abstractNumId w:val="20"/>
  </w:num>
  <w:num w:numId="40" w16cid:durableId="1107116347">
    <w:abstractNumId w:val="40"/>
  </w:num>
  <w:num w:numId="41" w16cid:durableId="1304695742">
    <w:abstractNumId w:val="22"/>
  </w:num>
  <w:num w:numId="42" w16cid:durableId="460533568">
    <w:abstractNumId w:val="43"/>
  </w:num>
  <w:num w:numId="43" w16cid:durableId="2124378542">
    <w:abstractNumId w:val="34"/>
  </w:num>
  <w:num w:numId="44" w16cid:durableId="1391540003">
    <w:abstractNumId w:val="10"/>
  </w:num>
  <w:num w:numId="45" w16cid:durableId="1147013725">
    <w:abstractNumId w:val="29"/>
  </w:num>
  <w:num w:numId="46" w16cid:durableId="1050417966">
    <w:abstractNumId w:val="36"/>
  </w:num>
  <w:num w:numId="47" w16cid:durableId="979769334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7BEF"/>
    <w:rsid w:val="00006199"/>
    <w:rsid w:val="00030107"/>
    <w:rsid w:val="000676CC"/>
    <w:rsid w:val="00090636"/>
    <w:rsid w:val="00090AA2"/>
    <w:rsid w:val="000B0FFA"/>
    <w:rsid w:val="000B3BAA"/>
    <w:rsid w:val="000E1885"/>
    <w:rsid w:val="0010130A"/>
    <w:rsid w:val="00121213"/>
    <w:rsid w:val="001319C6"/>
    <w:rsid w:val="0013568E"/>
    <w:rsid w:val="00147911"/>
    <w:rsid w:val="00167581"/>
    <w:rsid w:val="00184F4F"/>
    <w:rsid w:val="00192018"/>
    <w:rsid w:val="001930DF"/>
    <w:rsid w:val="001B636F"/>
    <w:rsid w:val="001C4F3D"/>
    <w:rsid w:val="001C650D"/>
    <w:rsid w:val="001D1617"/>
    <w:rsid w:val="001D4FA7"/>
    <w:rsid w:val="001D534A"/>
    <w:rsid w:val="001E35EA"/>
    <w:rsid w:val="00202837"/>
    <w:rsid w:val="002078FD"/>
    <w:rsid w:val="00216724"/>
    <w:rsid w:val="0021696E"/>
    <w:rsid w:val="00227227"/>
    <w:rsid w:val="002275B3"/>
    <w:rsid w:val="00257A72"/>
    <w:rsid w:val="00267076"/>
    <w:rsid w:val="002759FB"/>
    <w:rsid w:val="002777C1"/>
    <w:rsid w:val="00277A97"/>
    <w:rsid w:val="00282DDC"/>
    <w:rsid w:val="003009F9"/>
    <w:rsid w:val="003075DD"/>
    <w:rsid w:val="00313A7B"/>
    <w:rsid w:val="00323105"/>
    <w:rsid w:val="003333A7"/>
    <w:rsid w:val="00352CEC"/>
    <w:rsid w:val="00362B73"/>
    <w:rsid w:val="003858A6"/>
    <w:rsid w:val="00394333"/>
    <w:rsid w:val="003A39F0"/>
    <w:rsid w:val="003B1375"/>
    <w:rsid w:val="003E3ECA"/>
    <w:rsid w:val="003E5105"/>
    <w:rsid w:val="00406776"/>
    <w:rsid w:val="00432E06"/>
    <w:rsid w:val="00464141"/>
    <w:rsid w:val="004A3A33"/>
    <w:rsid w:val="004A6BD9"/>
    <w:rsid w:val="004E1FF2"/>
    <w:rsid w:val="004F4C77"/>
    <w:rsid w:val="00504D85"/>
    <w:rsid w:val="005241CA"/>
    <w:rsid w:val="00527764"/>
    <w:rsid w:val="005306C3"/>
    <w:rsid w:val="0053682F"/>
    <w:rsid w:val="005757AF"/>
    <w:rsid w:val="00585EF0"/>
    <w:rsid w:val="005925FF"/>
    <w:rsid w:val="005A2A66"/>
    <w:rsid w:val="005B3FD6"/>
    <w:rsid w:val="00625ED1"/>
    <w:rsid w:val="00635367"/>
    <w:rsid w:val="00657168"/>
    <w:rsid w:val="006724D6"/>
    <w:rsid w:val="00692D04"/>
    <w:rsid w:val="006A7437"/>
    <w:rsid w:val="006F039D"/>
    <w:rsid w:val="006F350E"/>
    <w:rsid w:val="00722B4D"/>
    <w:rsid w:val="00732CAB"/>
    <w:rsid w:val="007457DB"/>
    <w:rsid w:val="007475B7"/>
    <w:rsid w:val="00750FDD"/>
    <w:rsid w:val="0077449E"/>
    <w:rsid w:val="007A1BC8"/>
    <w:rsid w:val="007D2B45"/>
    <w:rsid w:val="007D3C11"/>
    <w:rsid w:val="007F4029"/>
    <w:rsid w:val="00805095"/>
    <w:rsid w:val="00810F98"/>
    <w:rsid w:val="008302C7"/>
    <w:rsid w:val="00845BFD"/>
    <w:rsid w:val="008466EB"/>
    <w:rsid w:val="008525B4"/>
    <w:rsid w:val="00852F8E"/>
    <w:rsid w:val="008829ED"/>
    <w:rsid w:val="008A7160"/>
    <w:rsid w:val="008C2015"/>
    <w:rsid w:val="008C2B1F"/>
    <w:rsid w:val="008D0934"/>
    <w:rsid w:val="0091125C"/>
    <w:rsid w:val="0091135E"/>
    <w:rsid w:val="009179A1"/>
    <w:rsid w:val="00921826"/>
    <w:rsid w:val="009839C7"/>
    <w:rsid w:val="009A33D0"/>
    <w:rsid w:val="009A4199"/>
    <w:rsid w:val="009B19B5"/>
    <w:rsid w:val="009C2940"/>
    <w:rsid w:val="009D1223"/>
    <w:rsid w:val="009E14A7"/>
    <w:rsid w:val="009E33C1"/>
    <w:rsid w:val="00A27BAB"/>
    <w:rsid w:val="00A510FD"/>
    <w:rsid w:val="00A514E8"/>
    <w:rsid w:val="00A554DE"/>
    <w:rsid w:val="00A573F5"/>
    <w:rsid w:val="00A61C06"/>
    <w:rsid w:val="00A71F86"/>
    <w:rsid w:val="00A92012"/>
    <w:rsid w:val="00AA6DD7"/>
    <w:rsid w:val="00AD77D7"/>
    <w:rsid w:val="00AE04D1"/>
    <w:rsid w:val="00AE53E3"/>
    <w:rsid w:val="00AE674D"/>
    <w:rsid w:val="00B07B5F"/>
    <w:rsid w:val="00B233E9"/>
    <w:rsid w:val="00B36ABB"/>
    <w:rsid w:val="00B6537A"/>
    <w:rsid w:val="00B81867"/>
    <w:rsid w:val="00BB188A"/>
    <w:rsid w:val="00BB3536"/>
    <w:rsid w:val="00BC3AAA"/>
    <w:rsid w:val="00BD3357"/>
    <w:rsid w:val="00BE3107"/>
    <w:rsid w:val="00BE7485"/>
    <w:rsid w:val="00BF78C6"/>
    <w:rsid w:val="00C51373"/>
    <w:rsid w:val="00C52C3C"/>
    <w:rsid w:val="00C53D00"/>
    <w:rsid w:val="00C6582C"/>
    <w:rsid w:val="00CA64A1"/>
    <w:rsid w:val="00CB344E"/>
    <w:rsid w:val="00CB771C"/>
    <w:rsid w:val="00CC6118"/>
    <w:rsid w:val="00CD4ABE"/>
    <w:rsid w:val="00CD6B2C"/>
    <w:rsid w:val="00D41085"/>
    <w:rsid w:val="00D51631"/>
    <w:rsid w:val="00D62CD3"/>
    <w:rsid w:val="00D63FED"/>
    <w:rsid w:val="00D708A0"/>
    <w:rsid w:val="00D92639"/>
    <w:rsid w:val="00DA7CDC"/>
    <w:rsid w:val="00DB111C"/>
    <w:rsid w:val="00DC7B3F"/>
    <w:rsid w:val="00DE189D"/>
    <w:rsid w:val="00DE3072"/>
    <w:rsid w:val="00DF4422"/>
    <w:rsid w:val="00E074D9"/>
    <w:rsid w:val="00E13072"/>
    <w:rsid w:val="00E41A87"/>
    <w:rsid w:val="00E42809"/>
    <w:rsid w:val="00E53A05"/>
    <w:rsid w:val="00E6576A"/>
    <w:rsid w:val="00E900F9"/>
    <w:rsid w:val="00ED3E8D"/>
    <w:rsid w:val="00EE1547"/>
    <w:rsid w:val="00EE24C0"/>
    <w:rsid w:val="00EF3382"/>
    <w:rsid w:val="00F1129B"/>
    <w:rsid w:val="00F67BEF"/>
    <w:rsid w:val="00F75CCE"/>
    <w:rsid w:val="00FB3F68"/>
    <w:rsid w:val="00FE4E36"/>
    <w:rsid w:val="00FF3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8764B"/>
  <w15:docId w15:val="{F6B2B46B-AC71-498B-8FEB-6605EAC14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B35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2E0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2E06"/>
  </w:style>
  <w:style w:type="paragraph" w:styleId="Footer">
    <w:name w:val="footer"/>
    <w:basedOn w:val="Normal"/>
    <w:link w:val="FooterChar"/>
    <w:uiPriority w:val="99"/>
    <w:unhideWhenUsed/>
    <w:rsid w:val="00432E0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2E06"/>
  </w:style>
  <w:style w:type="paragraph" w:styleId="NormalWeb">
    <w:name w:val="Normal (Web)"/>
    <w:basedOn w:val="Normal"/>
    <w:uiPriority w:val="99"/>
    <w:unhideWhenUsed/>
    <w:rsid w:val="002028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sid w:val="003E3ECA"/>
    <w:rPr>
      <w:b/>
      <w:bCs/>
    </w:rPr>
  </w:style>
  <w:style w:type="character" w:styleId="Hyperlink">
    <w:name w:val="Hyperlink"/>
    <w:basedOn w:val="DefaultParagraphFont"/>
    <w:uiPriority w:val="99"/>
    <w:unhideWhenUsed/>
    <w:rsid w:val="00F1129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12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2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41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6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25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2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76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89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14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4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09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5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22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30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6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57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8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2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57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89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8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3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9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785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3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3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37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0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0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67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95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31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73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62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6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26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90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6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71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0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5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55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57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7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6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6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5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PreProcesssed_Total_budget_and_expenditure_of_State_Agricultural_Universities.csv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7648B9-AB12-48FE-A995-CF11DC57E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996</Words>
  <Characters>5681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Darshini Machamma</dc:creator>
  <cp:lastModifiedBy>ROOPAL VASHISHTH</cp:lastModifiedBy>
  <cp:revision>10</cp:revision>
  <dcterms:created xsi:type="dcterms:W3CDTF">2025-06-22T08:28:00Z</dcterms:created>
  <dcterms:modified xsi:type="dcterms:W3CDTF">2025-07-19T10:57:00Z</dcterms:modified>
</cp:coreProperties>
</file>