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E10DC" w14:textId="6C41FAF9" w:rsidR="00480050" w:rsidRPr="00480050" w:rsidRDefault="00480050" w:rsidP="00480050">
      <w:pPr>
        <w:spacing w:line="480" w:lineRule="auto"/>
        <w:jc w:val="center"/>
        <w:rPr>
          <w:sz w:val="40"/>
          <w:szCs w:val="40"/>
          <w:u w:val="single"/>
        </w:rPr>
      </w:pPr>
      <w:r w:rsidRPr="00480050">
        <w:rPr>
          <w:sz w:val="40"/>
          <w:szCs w:val="40"/>
          <w:u w:val="single"/>
        </w:rPr>
        <w:t>Quantitative Equity Market Analysis Thesis</w:t>
      </w:r>
    </w:p>
    <w:p w14:paraId="66106175" w14:textId="46E93F4C" w:rsidR="008746AE" w:rsidRDefault="00D43DA5" w:rsidP="00480050">
      <w:pPr>
        <w:spacing w:line="480" w:lineRule="auto"/>
      </w:pPr>
      <w:r>
        <w:t>This analysis covers the Indian equity market from April 2016 to March 2026 using the Nifty50 as macro benchmark. The index delivered a Sharpe of 0.38 and a maximum drawdown of 38% concentrated in the Covid crash of March 2020</w:t>
      </w:r>
      <w:r>
        <w:t xml:space="preserve">. And the second maximum drawdown </w:t>
      </w:r>
      <w:r w:rsidR="006F1A30">
        <w:t>was approximately</w:t>
      </w:r>
      <w:r>
        <w:t xml:space="preserve"> </w:t>
      </w:r>
      <w:r w:rsidR="006F1A30">
        <w:t>18</w:t>
      </w:r>
      <w:r>
        <w:t xml:space="preserve">% happened in </w:t>
      </w:r>
      <w:r w:rsidR="0054205F">
        <w:t>mid-2022</w:t>
      </w:r>
      <w:r>
        <w:t>.</w:t>
      </w:r>
    </w:p>
    <w:p w14:paraId="5A8162ED" w14:textId="66DFC0BF" w:rsidR="00D43DA5" w:rsidRDefault="00D43DA5" w:rsidP="00D43DA5">
      <w:pPr>
        <w:spacing w:line="480" w:lineRule="auto"/>
      </w:pPr>
      <w:r>
        <w:t>Sector rotation analysis showed the Nifty IT index as the strongest outperformer on a normalized cumulative return basis over the full period, surpassing Banking and FMCG despite trailing them in absolute price levels for most of the decade.</w:t>
      </w:r>
    </w:p>
    <w:p w14:paraId="30F252ED" w14:textId="0CB5ACC8" w:rsidR="00D43DA5" w:rsidRDefault="00D43DA5" w:rsidP="00D43DA5">
      <w:pPr>
        <w:spacing w:line="480" w:lineRule="auto"/>
      </w:pPr>
      <w:r>
        <w:t xml:space="preserve">Among eight eligible Nifty IT constituents with full data coverage from 2016, normalized cumulative return analysis identified </w:t>
      </w:r>
      <w:proofErr w:type="spellStart"/>
      <w:r w:rsidRPr="00D43DA5">
        <w:rPr>
          <w:b/>
          <w:bCs/>
        </w:rPr>
        <w:t>Coforge</w:t>
      </w:r>
      <w:proofErr w:type="spellEnd"/>
      <w:r>
        <w:t xml:space="preserve"> and </w:t>
      </w:r>
      <w:r w:rsidRPr="00D43DA5">
        <w:rPr>
          <w:b/>
          <w:bCs/>
        </w:rPr>
        <w:t>Persistent Systems</w:t>
      </w:r>
      <w:r>
        <w:t xml:space="preserve"> as the two standout compounders, significantly outpacing TCS, Infosys, and Wipro</w:t>
      </w:r>
      <w:r>
        <w:t>, the big players in this sector</w:t>
      </w:r>
      <w:r>
        <w:t>.</w:t>
      </w:r>
    </w:p>
    <w:p w14:paraId="3CDBAD10" w14:textId="1E36CD71" w:rsidR="00D43DA5" w:rsidRDefault="00D43DA5" w:rsidP="00D43DA5">
      <w:pPr>
        <w:spacing w:line="480" w:lineRule="auto"/>
      </w:pPr>
      <w:r>
        <w:t xml:space="preserve">Persistent delivered a 10-year CAGR of 30.8% vs </w:t>
      </w:r>
      <w:proofErr w:type="spellStart"/>
      <w:r>
        <w:t>Coforge's</w:t>
      </w:r>
      <w:proofErr w:type="spellEnd"/>
      <w:r>
        <w:t xml:space="preserve"> </w:t>
      </w:r>
      <w:r w:rsidR="0070316E">
        <w:t>29.19</w:t>
      </w:r>
      <w:r>
        <w:t xml:space="preserve">%, with a Sharpe of 0.82 vs </w:t>
      </w:r>
      <w:r w:rsidR="0070316E">
        <w:t>0.75</w:t>
      </w:r>
      <w:r w:rsidR="00486090" w:rsidRPr="00486090">
        <w:t xml:space="preserve"> </w:t>
      </w:r>
      <w:proofErr w:type="spellStart"/>
      <w:r w:rsidR="00486090">
        <w:t>Persistent's</w:t>
      </w:r>
      <w:proofErr w:type="spellEnd"/>
      <w:r w:rsidR="00486090">
        <w:t xml:space="preserve"> beta of 0.69 confirms below-market sensitivity, while </w:t>
      </w:r>
      <w:proofErr w:type="spellStart"/>
      <w:r w:rsidR="00486090">
        <w:t>Coforge's</w:t>
      </w:r>
      <w:proofErr w:type="spellEnd"/>
      <w:r w:rsidR="00486090">
        <w:t xml:space="preserve"> beta of 1.06 indicates it amplifies market moves, making it more vulnerable during </w:t>
      </w:r>
      <w:proofErr w:type="gramStart"/>
      <w:r w:rsidR="00486090">
        <w:t>downturns.</w:t>
      </w:r>
      <w:r>
        <w:t>.</w:t>
      </w:r>
      <w:proofErr w:type="gramEnd"/>
      <w:r>
        <w:t xml:space="preserve"> Maximum drawdown </w:t>
      </w:r>
      <w:r w:rsidR="0070316E">
        <w:t>was (5</w:t>
      </w:r>
      <w:r w:rsidR="00486090">
        <w:t>6</w:t>
      </w:r>
      <w:r w:rsidR="0070316E">
        <w:t>.76%)</w:t>
      </w:r>
      <w:r>
        <w:t xml:space="preserve"> </w:t>
      </w:r>
      <w:r w:rsidR="0070316E">
        <w:t>vs (</w:t>
      </w:r>
      <w:r>
        <w:t>45</w:t>
      </w:r>
      <w:r w:rsidR="0070316E">
        <w:t>.70</w:t>
      </w:r>
      <w:r>
        <w:t>%</w:t>
      </w:r>
      <w:r w:rsidR="0070316E">
        <w:t>) during covid</w:t>
      </w:r>
      <w:r>
        <w:t>.</w:t>
      </w:r>
      <w:r w:rsidR="0070316E">
        <w:t xml:space="preserve"> And the second maximum drawdown was less than 50% vs lest than 40%.</w:t>
      </w:r>
    </w:p>
    <w:p w14:paraId="01571ACC" w14:textId="496A498F" w:rsidR="00D43DA5" w:rsidRDefault="00D43DA5" w:rsidP="00D43DA5">
      <w:pPr>
        <w:spacing w:line="480" w:lineRule="auto"/>
      </w:pPr>
      <w:r>
        <w:t>Persistent Systems is the preferred pick</w:t>
      </w:r>
      <w:r w:rsidR="0070316E">
        <w:t>,</w:t>
      </w:r>
      <w:r>
        <w:t xml:space="preserve"> its combination of the highest Sharpe ratio and a 30.8% CAGR represents superior risk-adjusted compounding. However, the 3</w:t>
      </w:r>
      <w:r w:rsidR="0054205F">
        <w:t>1.9</w:t>
      </w:r>
      <w:r>
        <w:t>% annualized volatility and –4</w:t>
      </w:r>
      <w:r w:rsidR="00486090">
        <w:t>6</w:t>
      </w:r>
      <w:r>
        <w:t xml:space="preserve">% historical drawdown </w:t>
      </w:r>
      <w:proofErr w:type="gramStart"/>
      <w:r>
        <w:t>require</w:t>
      </w:r>
      <w:proofErr w:type="gramEnd"/>
      <w:r>
        <w:t xml:space="preserve"> a long investment horizon and strong conviction.</w:t>
      </w:r>
    </w:p>
    <w:sectPr w:rsidR="00D43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A5"/>
    <w:rsid w:val="00480050"/>
    <w:rsid w:val="00486090"/>
    <w:rsid w:val="0054205F"/>
    <w:rsid w:val="006F1A30"/>
    <w:rsid w:val="0070316E"/>
    <w:rsid w:val="008746AE"/>
    <w:rsid w:val="00D4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1160"/>
  <w15:chartTrackingRefBased/>
  <w15:docId w15:val="{7DF697E8-79B7-4F16-A359-44CA6853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roopamd</dc:creator>
  <cp:keywords/>
  <dc:description/>
  <cp:lastModifiedBy>roopamd</cp:lastModifiedBy>
  <cp:revision>1</cp:revision>
  <dcterms:created xsi:type="dcterms:W3CDTF">2026-04-23T06:20:00Z</dcterms:created>
  <dcterms:modified xsi:type="dcterms:W3CDTF">2026-04-23T07:12:00Z</dcterms:modified>
</cp:coreProperties>
</file>