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Muuntaja käyttöohje</w:t>
      </w:r>
    </w:p>
    <w:p>
      <w:pPr>
        <w:spacing w:after="160"/>
      </w:pPr>
      <w:r>
        <w:rPr>
          <w:rFonts w:ascii="Aptos" w:hAnsi="Aptos"/>
          <w:color w:val="373737"/>
          <w:sz w:val="28"/>
        </w:rPr>
        <w:t>Tiedostojen tuonti ja vienti ArcGIS Prossa</w:t>
      </w:r>
    </w:p>
    <w:p>
      <w:pPr>
        <w:spacing w:after="280"/>
      </w:pPr>
      <w:r>
        <w:t>Versio 1.2.4 | Päivitetty 11.9.2026</w:t>
      </w:r>
    </w:p>
    <w:p>
      <w:pPr>
        <w:spacing w:after="200"/>
        <w:keepLines/>
      </w:pPr>
      <w:r>
        <w:t>Muuntaja kokoaa paikkatietoaineistojen tuonnin ja viennin yhteen ArcGIS Pro -työkaluun. Tuonnissa voit valita yksittäisiä tiedostoja, useita tiedostoja tai kansion. Vientitilassa valitset aktiivisen kartan tasot ja kirjoitat ne haluttuun tiedostomuotoon ilman, että vientituloksia lisätään kartalle.</w:t>
      </w:r>
    </w:p>
    <w:p>
      <w:pPr>
        <w:pStyle w:val="Heading1"/>
      </w:pPr>
      <w:r>
        <w:t>Pika aloitus</w:t>
      </w:r>
    </w:p>
    <w:p>
      <w:pPr>
        <w:spacing w:after="80"/>
        <w:ind w:left="369" w:hanging="369"/>
        <w:keepLines/>
      </w:pPr>
      <w:r>
        <w:rPr>
          <w:b/>
        </w:rPr>
        <w:t xml:space="preserve">1.  </w:t>
      </w:r>
      <w:r>
        <w:t>Avaa ArcGIS Pro -projekti ja valitse Add-In- tai Muuntaja-välilehdeltä Muuntaja.</w:t>
      </w:r>
    </w:p>
    <w:p>
      <w:pPr>
        <w:spacing w:after="80"/>
        <w:ind w:left="369" w:hanging="369"/>
        <w:keepLines/>
      </w:pPr>
      <w:r>
        <w:rPr>
          <w:b/>
        </w:rPr>
        <w:t xml:space="preserve">2.  </w:t>
      </w:r>
      <w:r>
        <w:t>Valitse kohdasta Mitä haluat tehdä joko Tuonti tai Vienti.</w:t>
      </w:r>
    </w:p>
    <w:p>
      <w:pPr>
        <w:spacing w:after="80"/>
        <w:ind w:left="369" w:hanging="369"/>
        <w:keepLines/>
      </w:pPr>
      <w:r>
        <w:rPr>
          <w:b/>
        </w:rPr>
        <w:t xml:space="preserve">3.  </w:t>
      </w:r>
      <w:r>
        <w:t>Tuonnissa valitse tiedostot tai kansio. Vientitilassa valitse vietävät karttatasot.</w:t>
      </w:r>
    </w:p>
    <w:p>
      <w:pPr>
        <w:spacing w:after="80"/>
        <w:ind w:left="369" w:hanging="369"/>
        <w:keepLines/>
      </w:pPr>
      <w:r>
        <w:rPr>
          <w:b/>
        </w:rPr>
        <w:t xml:space="preserve">4.  </w:t>
      </w:r>
      <w:r>
        <w:t>Tarkista aktiivisessa tilassa näkyvät asetukset ja valitse tallennuspaikka tai vientikansio.</w:t>
      </w:r>
    </w:p>
    <w:p>
      <w:pPr>
        <w:spacing w:after="80"/>
        <w:ind w:left="369" w:hanging="369"/>
        <w:keepLines/>
      </w:pPr>
      <w:r>
        <w:rPr>
          <w:b/>
        </w:rPr>
        <w:t xml:space="preserve">5.  </w:t>
      </w:r>
      <w:r>
        <w:t>Paina Run. Seuraa etenemistä Messages-välilehdeltä.</w:t>
      </w:r>
    </w:p>
    <w:p>
      <w:pPr>
        <w:pStyle w:val="Heading1"/>
      </w:pPr>
      <w:r>
        <w:t>Tuetut muodot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1360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Toiminto</w:t>
            </w:r>
          </w:p>
        </w:tc>
        <w:tc>
          <w:tcPr>
            <w:tcW w:type="dxa" w:w="4025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Muodot</w:t>
            </w:r>
          </w:p>
        </w:tc>
        <w:tc>
          <w:tcPr>
            <w:tcW w:type="dxa" w:w="4025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Huomio</w:t>
            </w:r>
          </w:p>
        </w:tc>
      </w:tr>
      <w:tr>
        <w:tc>
          <w:tcPr>
            <w:tcW w:type="dxa" w:w="13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Tuonti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GPKG, GeoJSON, JSON, KML, KMZ, GPX, DWG, DXF, DFSU, SHP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Kansiotuonti tunnistaa muodot automaattisesti.</w:t>
            </w:r>
          </w:p>
        </w:tc>
      </w:tr>
      <w:tr>
        <w:tc>
          <w:tcPr>
            <w:tcW w:type="dxa" w:w="13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Vienti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GPKG, DWG, DXF, GeoJSON, SHP, KML, KMZ</w:t>
            </w:r>
          </w:p>
        </w:tc>
        <w:tc>
          <w:tcPr>
            <w:tcW w:type="dxa" w:w="402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Tiedostonimet muodostetaan automaattisesti eikä aiempaa tiedostoa ylikirjoiteta.</w:t>
            </w:r>
          </w:p>
        </w:tc>
      </w:tr>
    </w:tbl>
    <w:p>
      <w:pPr>
        <w:spacing w:after="20"/>
      </w:pPr>
    </w:p>
    <w:p>
      <w:pPr>
        <w:pStyle w:val="Heading1"/>
      </w:pPr>
      <w:r>
        <w:t>Tuonti</w:t>
      </w:r>
    </w:p>
    <w:p>
      <w:pPr>
        <w:spacing w:after="200"/>
        <w:keepLines/>
      </w:pPr>
      <w:r>
        <w:t>Tuonti tallentaa muunnetut aineistot valittuun työtilaan ja lisää valmiit tasot ArcGIS Prohon. Tallennuspaikkana käytetään oletuksena avoimen projektin oletusgeodatabasea.</w:t>
      </w:r>
    </w:p>
    <w:p>
      <w:pPr>
        <w:pStyle w:val="Heading2"/>
      </w:pPr>
      <w:r>
        <w:t>Tiedostojen ja kansioiden valinta</w:t>
      </w:r>
    </w:p>
    <w:p>
      <w:pPr>
        <w:pStyle w:val="ListBullet"/>
        <w:spacing w:after="60"/>
        <w:keepLines/>
      </w:pPr>
      <w:r>
        <w:t>Voit valita yhden tiedoston, useita tiedostoja, yhden kansion tai useita kansioita.</w:t>
      </w:r>
    </w:p>
    <w:p>
      <w:pPr>
        <w:pStyle w:val="ListBullet"/>
        <w:spacing w:after="60"/>
        <w:keepLines/>
      </w:pPr>
      <w:r>
        <w:t>Kun annat kansion, työkalu skannaa myös kaikki alikansiot.</w:t>
      </w:r>
    </w:p>
    <w:p>
      <w:pPr>
        <w:pStyle w:val="ListBullet"/>
        <w:spacing w:after="60"/>
        <w:keepLines/>
      </w:pPr>
      <w:r>
        <w:t>Samassa kansiopuussa voi olla sekaisin kaikkia tuettuja tiedostomuotoja.</w:t>
      </w:r>
    </w:p>
    <w:p>
      <w:pPr>
        <w:pStyle w:val="ListBullet"/>
        <w:spacing w:after="60"/>
        <w:keepLines/>
      </w:pPr>
      <w:r>
        <w:t>Shapefilen sivutiedostot, kuten DBF, SHX ja PRJ, ohitetaan. Varsinainen SHP käsitellään kerran.</w:t>
      </w:r>
    </w:p>
    <w:p>
      <w:pPr>
        <w:pStyle w:val="ListBullet"/>
        <w:spacing w:after="60"/>
        <w:keepLines/>
      </w:pPr>
      <w:r>
        <w:t>Jokainen löydetty aineisto käsitellään erikseen. Samannimiset tulokset nimetään yksilöllisesti.</w:t>
      </w:r>
    </w:p>
    <w:p>
      <w:pPr>
        <w:pStyle w:val="ListBullet"/>
        <w:spacing w:after="60"/>
        <w:keepLines/>
      </w:pPr>
      <w:r>
        <w:t>GeoPackage-tasolle käytetään sen varsinaista tasonimeä. Muuntajalla viety ja takaisin tuotu taso ei jää yleisnimelle main.</w:t>
      </w:r>
    </w:p>
    <w:p>
      <w:pPr>
        <w:pStyle w:val="Heading2"/>
      </w:pPr>
      <w:r>
        <w:t>Tuonnin asetukset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551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Asetus</w:t>
            </w:r>
          </w:p>
        </w:tc>
        <w:tc>
          <w:tcPr>
            <w:tcW w:type="dxa" w:w="6860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Käyttö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Syöte</w:t>
            </w:r>
          </w:p>
        </w:tc>
        <w:tc>
          <w:tcPr>
            <w:tcW w:type="dxa" w:w="68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tiedostoja tai kansioita. Kansio skannataan alikansioineen.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Tallennuspaikka</w:t>
            </w:r>
          </w:p>
        </w:tc>
        <w:tc>
          <w:tcPr>
            <w:tcW w:type="dxa" w:w="68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Oletuksena projektin geodatabase. Voit valita myös muun geodatabasen tai kansion.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Siivoa CAD-tasoja</w:t>
            </w:r>
          </w:p>
        </w:tc>
        <w:tc>
          <w:tcPr>
            <w:tcW w:type="dxa" w:w="68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Poistaa CAD-tuonnista tarpeettomia tasoja, kuten Defpoints, kun valinta on käytössä.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CAD-lähtökoordinaatisto</w:t>
            </w:r>
          </w:p>
        </w:tc>
        <w:tc>
          <w:tcPr>
            <w:tcW w:type="dxa" w:w="68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Automaattinen tunnistus on oletus. Tarvittaessa valitse ETRS-TM35FIN, ETRS-GK-kaista tai KKJ.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Kohde-CRS</w:t>
            </w:r>
          </w:p>
        </w:tc>
        <w:tc>
          <w:tcPr>
            <w:tcW w:type="dxa" w:w="68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Koskee vain CAD-tuontia. Tyhjänä aineisto säilyttää alkuperäisen koordinaatiston.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DFSU-suodatus</w:t>
            </w:r>
          </w:p>
        </w:tc>
        <w:tc>
          <w:tcPr>
            <w:tcW w:type="dxa" w:w="686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Rajaa tuotavat elementit valitun item-kentän, operaattorin ja arvon perusteella.</w:t>
            </w:r>
          </w:p>
        </w:tc>
      </w:tr>
    </w:tbl>
    <w:p>
      <w:pPr>
        <w:spacing w:after="20"/>
      </w:pPr>
    </w:p>
    <w:p>
      <w:pPr>
        <w:pStyle w:val="Heading2"/>
      </w:pPr>
      <w:r>
        <w:t>CAD tuonti</w:t>
      </w:r>
    </w:p>
    <w:p>
      <w:pPr>
        <w:pStyle w:val="ListBullet"/>
        <w:spacing w:after="60"/>
        <w:keepLines/>
      </w:pPr>
      <w:r>
        <w:t>Automaattinen tunnistus arvioi aineiston koordinaatiston geometriasta. Jos tunnet lähtökoordinaatiston varmasti, valitse se luettelosta.</w:t>
      </w:r>
    </w:p>
    <w:p>
      <w:pPr>
        <w:pStyle w:val="ListBullet"/>
        <w:spacing w:after="60"/>
        <w:keepLines/>
      </w:pPr>
      <w:r>
        <w:t>Kohde-CRS on valinnainen ja näkyy vain CAD-tuonnissa.</w:t>
      </w:r>
    </w:p>
    <w:p>
      <w:pPr>
        <w:pStyle w:val="ListBullet"/>
        <w:spacing w:after="60"/>
        <w:keepLines/>
      </w:pPr>
      <w:r>
        <w:t>DWG- ja DXF-aineistoista käsitellään käyttökelpoiset piste-, viiva-, alue- ja annotaatiotasot.</w:t>
      </w:r>
    </w:p>
    <w:p>
      <w:pPr>
        <w:pStyle w:val="ListBullet"/>
        <w:spacing w:after="60"/>
        <w:keepLines/>
      </w:pPr>
      <w:r>
        <w:t>Suurissa CAD-aineistoissa muunnos voi kestää. Messages-välilehti näyttää käsiteltävät tasot ja ajat.</w:t>
      </w:r>
    </w:p>
    <w:p>
      <w:pPr>
        <w:pStyle w:val="Heading2"/>
      </w:pPr>
      <w:r>
        <w:t>DFSU tuonti</w:t>
      </w:r>
    </w:p>
    <w:p>
      <w:pPr>
        <w:pStyle w:val="ListBullet"/>
        <w:spacing w:after="60"/>
        <w:keepLines/>
      </w:pPr>
      <w:r>
        <w:t>DFSU-tuonti lukee aineiston ensimmäisen aika-askeleen.</w:t>
      </w:r>
    </w:p>
    <w:p>
      <w:pPr>
        <w:pStyle w:val="ListBullet"/>
        <w:spacing w:after="60"/>
        <w:keepLines/>
      </w:pPr>
      <w:r>
        <w:t>Suodatus voidaan ottaa käyttöön, kun vähintään yksi DFSU-tiedosto on valittu.</w:t>
      </w:r>
    </w:p>
    <w:p>
      <w:pPr>
        <w:pStyle w:val="ListBullet"/>
        <w:spacing w:after="60"/>
        <w:keepLines/>
      </w:pPr>
      <w:r>
        <w:t>Valitse suodatettava item-kenttä, operaattori ja vertailuarvo. Tuetut operaattorit sisältävät numeeriset vertailut sekä tekstihaut.</w:t>
      </w:r>
    </w:p>
    <w:p>
      <w:pPr>
        <w:pStyle w:val="ListBullet"/>
        <w:spacing w:after="60"/>
        <w:keepLines/>
      </w:pPr>
      <w:r>
        <w:t>DFSU-käsittely käyttää mikeio-kirjastoa ArcGIS Pron Python-ympäristössä.</w:t>
      </w:r>
    </w:p>
    <w:p>
      <w:pPr>
        <w:pStyle w:val="Heading1"/>
      </w:pPr>
      <w:r>
        <w:t>Vienti</w:t>
      </w:r>
    </w:p>
    <w:p>
      <w:pPr>
        <w:spacing w:after="200"/>
        <w:keepLines/>
      </w:pPr>
      <w:r>
        <w:t>Vientitilassa syötetiedostoa ei anneta. Valitse sen sijaan yksi tai useampi vietävä taso ArcGIS Pron omalla monitasovalitsimella. Vientiprosessi kirjoittaa vain tiedostot eikä lisää niitä aktiiviselle kartalle.</w:t>
      </w:r>
    </w:p>
    <w:p>
      <w:pPr>
        <w:pStyle w:val="Heading2"/>
      </w:pPr>
      <w:r>
        <w:t>Vientivaiheet</w:t>
      </w:r>
    </w:p>
    <w:p>
      <w:pPr>
        <w:spacing w:after="80"/>
        <w:ind w:left="369" w:hanging="369"/>
        <w:keepLines/>
      </w:pPr>
      <w:r>
        <w:rPr>
          <w:b/>
        </w:rPr>
        <w:t xml:space="preserve">1.  </w:t>
      </w:r>
      <w:r>
        <w:t>Vaihda toimintatilaksi Vienti. Tuontitilan tiedosto- ja aiemmat tasovalinnat nollataan tilan vaihtuessa.</w:t>
      </w:r>
    </w:p>
    <w:p>
      <w:pPr>
        <w:spacing w:after="80"/>
        <w:ind w:left="369" w:hanging="369"/>
        <w:keepLines/>
      </w:pPr>
      <w:r>
        <w:rPr>
          <w:b/>
        </w:rPr>
        <w:t xml:space="preserve">2.  </w:t>
      </w:r>
      <w:r>
        <w:t>Valitse olemassa oleva vientikansio.</w:t>
      </w:r>
    </w:p>
    <w:p>
      <w:pPr>
        <w:spacing w:after="80"/>
        <w:ind w:left="369" w:hanging="369"/>
        <w:keepLines/>
      </w:pPr>
      <w:r>
        <w:rPr>
          <w:b/>
        </w:rPr>
        <w:t xml:space="preserve">3.  </w:t>
      </w:r>
      <w:r>
        <w:t>Valitse vientiformaatti.</w:t>
      </w:r>
    </w:p>
    <w:p>
      <w:pPr>
        <w:spacing w:after="80"/>
        <w:ind w:left="369" w:hanging="369"/>
        <w:keepLines/>
      </w:pPr>
      <w:r>
        <w:rPr>
          <w:b/>
        </w:rPr>
        <w:t xml:space="preserve">4.  </w:t>
      </w:r>
      <w:r>
        <w:t>Lisää vietävät tasot kohdassa Vienti - valitse mukaan vietävät tasot.</w:t>
      </w:r>
    </w:p>
    <w:p>
      <w:pPr>
        <w:spacing w:after="80"/>
        <w:ind w:left="369" w:hanging="369"/>
        <w:keepLines/>
      </w:pPr>
      <w:r>
        <w:rPr>
          <w:b/>
        </w:rPr>
        <w:t xml:space="preserve">5.  </w:t>
      </w:r>
      <w:r>
        <w:t>Jos viet useita tasoja GPKG-, DWG- tai DXF-muotoon, valitse yhteinen tiedosto tai oma tiedosto jokaiselle tasolle.</w:t>
      </w:r>
    </w:p>
    <w:p>
      <w:pPr>
        <w:spacing w:after="80"/>
        <w:ind w:left="369" w:hanging="369"/>
        <w:keepLines/>
      </w:pPr>
      <w:r>
        <w:t>6.  DWG/DXF-vienti kirjoittaa tiedostoon vain valittujen tasojen geometriat.</w:t>
      </w:r>
    </w:p>
    <w:p>
      <w:pPr>
        <w:pStyle w:val="Heading2"/>
      </w:pPr>
      <w:r>
        <w:t>Monitasoviennin toiminta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268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Muoto</w:t>
            </w:r>
          </w:p>
        </w:tc>
        <w:tc>
          <w:tcPr>
            <w:tcW w:type="dxa" w:w="7144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Usean tason tulos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Shapefile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Jokainen taso viedään aina omaksi SHP-tiedostoksi.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GeoJSON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Jokainen taso viedään aina omaksi GeoJSON-tiedostoksi.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KML ja KMZ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Jokainen taso viedään aina omaksi KML- tai KMZ-tiedostoksi.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GPKG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kaikki tasot samaan GeoPackageen tai oma GeoPackage jokaiselle tasolle.</w:t>
            </w:r>
          </w:p>
        </w:tc>
      </w:tr>
      <w:tr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DWG ja DXF</w:t>
            </w:r>
          </w:p>
        </w:tc>
        <w:tc>
          <w:tcPr>
            <w:tcW w:type="dxa" w:w="714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kaikki tasot samaan CAD-tiedostoon tai oma tiedosto jokaiselle tasolle.</w:t>
            </w:r>
          </w:p>
        </w:tc>
      </w:tr>
    </w:tbl>
    <w:p>
      <w:pPr>
        <w:spacing w:after="20"/>
      </w:pPr>
    </w:p>
    <w:p>
      <w:pPr>
        <w:spacing w:after="120"/>
        <w:keepLines/>
      </w:pPr>
      <w:r>
        <w:rPr>
          <w:b/>
        </w:rPr>
        <w:t xml:space="preserve">Shapefile-rajoitus. </w:t>
      </w:r>
      <w:r>
        <w:t>DBF-attribuuttitaululla on kenttänimi-, kenttätyyppi- ja rivipituusrajoituksia. Jos aineistossa on hyvin paljon tai hyvin leveitä kenttiä, käytä ensisijaisesti GPKG-muotoa.</w:t>
      </w:r>
    </w:p>
    <w:p>
      <w:pPr>
        <w:pStyle w:val="Heading2"/>
      </w:pPr>
      <w:r>
        <w:t>CAD vienti</w:t>
      </w:r>
    </w:p>
    <w:p>
      <w:pPr>
        <w:spacing w:after="200"/>
        <w:keepLines/>
      </w:pPr>
      <w:r>
        <w:t>Kun vientiformaatti on DWG tai DXF, työkalu vie valittujen tasojen geometriat ilman labeltekstejä tai erillisiä attribuuttitaulukoita.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835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Valinta</w:t>
            </w:r>
          </w:p>
        </w:tc>
        <w:tc>
          <w:tcPr>
            <w:tcW w:type="dxa" w:w="6577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Toiminta</w:t>
            </w:r>
          </w:p>
        </w:tc>
      </w:tr>
      <w:tr>
        <w:tc>
          <w:tcPr>
            <w:tcW w:type="dxa" w:w="4876"/>
          </w:tcPr>
          <w:p>
            <w:r>
              <w:t>Sisältö</w:t>
            </w:r>
          </w:p>
        </w:tc>
        <w:tc>
          <w:tcPr>
            <w:tcW w:type="dxa" w:w="4876"/>
          </w:tcPr>
          <w:p>
            <w:r>
              <w:t>Valitut tasot viedään DWG/DXF-tiedostoon geometrioina. Labeltekstejä tai erillisiä attribuuttitaulukoita ei muodosteta.</w:t>
            </w:r>
          </w:p>
        </w:tc>
      </w:tr>
      <w:tr>
        <w:tc>
          <w:tcPr>
            <w:tcW w:type="dxa" w:w="4876"/>
          </w:tcPr>
          <w:p>
            <w:r>
              <w:t>Paketointi</w:t>
            </w:r>
          </w:p>
        </w:tc>
        <w:tc>
          <w:tcPr>
            <w:tcW w:type="dxa" w:w="4876"/>
          </w:tcPr>
          <w:p>
            <w:r>
              <w:t>Yhteinen tiedosto sisältää kaikkien valittujen tasojen geometriat. Tasokohtainen paketointi luo erillisen CAD-tiedoston jokaiselle tasolle.</w:t>
            </w:r>
          </w:p>
        </w:tc>
      </w:tr>
    </w:tbl>
    <w:p>
      <w:pPr>
        <w:spacing w:after="20"/>
      </w:pPr>
    </w:p>
    <w:p>
      <w:pPr>
        <w:spacing w:after="120"/>
        <w:keepLines/>
      </w:pPr>
      <w:r>
        <w:t>Usean tason viennissä voit valita yhden yhteisen CAD-tiedoston tai oman tiedoston jokaiselle tasolle.</w:t>
      </w:r>
    </w:p>
    <w:p>
      <w:pPr>
        <w:pStyle w:val="Heading2"/>
      </w:pPr>
      <w:r>
        <w:t>Nimeäminen ja karttasisältö</w:t>
      </w:r>
    </w:p>
    <w:p>
      <w:pPr>
        <w:pStyle w:val="ListBullet"/>
        <w:spacing w:after="60"/>
        <w:keepLines/>
      </w:pPr>
      <w:r>
        <w:t>Tiedostonimi muodostetaan tasojen nimistä ja aikaleimasta.</w:t>
      </w:r>
    </w:p>
    <w:p>
      <w:pPr>
        <w:pStyle w:val="ListBullet"/>
        <w:spacing w:after="60"/>
        <w:keepLines/>
      </w:pPr>
      <w:r>
        <w:t>Tasokohtaisessa viennissä jokaisen tiedoston nimi sisältää kyseisen tason nimen.</w:t>
      </w:r>
    </w:p>
    <w:p>
      <w:pPr>
        <w:pStyle w:val="ListBullet"/>
        <w:spacing w:after="60"/>
        <w:keepLines/>
      </w:pPr>
      <w:r>
        <w:t>GeoPackagen sisäinen tasonimi perustuu alkuperäiseen tasonimeen.</w:t>
      </w:r>
    </w:p>
    <w:p>
      <w:pPr>
        <w:pStyle w:val="ListBullet"/>
        <w:spacing w:after="60"/>
        <w:keepLines/>
      </w:pPr>
      <w:r>
        <w:t>Vienti ei lisää tulostiedostoja kartalle. Tuonti lisää valmiit aineistot työtilaan ja kartalle.</w:t>
      </w:r>
    </w:p>
    <w:p>
      <w:pPr>
        <w:pStyle w:val="Heading1"/>
      </w:pPr>
      <w:r>
        <w:t>Vianhaku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876"/>
        <w:gridCol w:w="4876"/>
      </w:tblGrid>
      <w:tr>
        <w:trPr>
          <w:tblHeader w:val="true"/>
        </w:trPr>
        <w:tc>
          <w:tcPr>
            <w:tcW w:type="dxa" w:w="2948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Tilanne</w:t>
            </w:r>
          </w:p>
        </w:tc>
        <w:tc>
          <w:tcPr>
            <w:tcW w:type="dxa" w:w="6463"/>
            <w:shd w:fill="0B4F8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Ratkaisu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Fix the missing or invalid parameters</w:t>
            </w:r>
          </w:p>
        </w:tc>
        <w:tc>
          <w:tcPr>
            <w:tcW w:type="dxa" w:w="64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Tarkista vain aktiivisessa tilassa näkyvät kentät. Tuonnissa tarvitaan syöte ja tallennuspaikka. Vientitilassa tarvitaan vientikansio, formaatti ja vähintään yksi taso.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Kansiota ei hyväksytä</w:t>
            </w:r>
          </w:p>
        </w:tc>
        <w:tc>
          <w:tcPr>
            <w:tcW w:type="dxa" w:w="64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AF3F8"/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Valitse olemassa oleva kansio kansiovalitsimella tai anna täydellinen polku. Työkalu skannaa alikansiot vasta, kun kansio on kelvollinen.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Vientitaso puuttuu</w:t>
            </w:r>
          </w:p>
        </w:tc>
        <w:tc>
          <w:tcPr>
            <w:tcW w:type="dxa" w:w="64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Lisää tasot Vienti - valitse mukaan vietävät tasot -kohdan omalla Add another -toiminnolla.</w:t>
            </w:r>
          </w:p>
        </w:tc>
      </w:tr>
      <w:tr>
        <w:tc>
          <w:tcPr>
            <w:tcW w:type="dxa" w:w="294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line="247" w:lineRule="auto"/>
            </w:pPr>
            <w:r>
              <w:rPr>
                <w:rFonts w:ascii="Aptos" w:hAnsi="Aptos"/>
                <w:sz w:val="18"/>
              </w:rPr>
              <w:t>Työkalu näyttää vanhalta tai kaatuu</w:t>
            </w:r>
          </w:p>
        </w:tc>
        <w:tc>
          <w:tcPr>
            <w:tcW w:type="dxa" w:w="6463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Varmista, että asennettuna on Muuntaja 1.2.4. Sulje ArcGIS Pro, asenna uusi esriAddInX-paketti ja käynnistä sovellus uudelleen.</w:t>
            </w:r>
          </w:p>
        </w:tc>
      </w:tr>
    </w:tbl>
    <w:p>
      <w:pPr>
        <w:spacing w:after="20"/>
      </w:pPr>
    </w:p>
    <w:p>
      <w:pPr>
        <w:pStyle w:val="Heading1"/>
      </w:pPr>
      <w:r>
        <w:t>Asennus ja vaatimukset</w:t>
      </w:r>
    </w:p>
    <w:p>
      <w:pPr>
        <w:pStyle w:val="ListBullet"/>
        <w:spacing w:after="60"/>
        <w:keepLines/>
      </w:pPr>
      <w:r>
        <w:t>ArcGIS Pro 3.5 tai uudempi yhteensopiva versio.</w:t>
      </w:r>
    </w:p>
    <w:p>
      <w:pPr>
        <w:pStyle w:val="ListBullet"/>
        <w:spacing w:after="60"/>
        <w:keepLines/>
      </w:pPr>
      <w:r>
        <w:t>Asenna Muuntaja.esriAddInX kaksoisklikkaamalla pakettia ja käynnistä ArcGIS Pro uudelleen.</w:t>
      </w:r>
    </w:p>
    <w:p>
      <w:pPr>
        <w:pStyle w:val="ListBullet"/>
        <w:spacing w:after="60"/>
        <w:keepLines/>
      </w:pPr>
      <w:r>
        <w:t>DFSU-tuonti tarvitsee mikeio-kirjaston. Verkkoyhteys voi olla tarpeen kirjaston asentamiseen.</w:t>
      </w:r>
    </w:p>
    <w:sectPr w:rsidR="00FC693F" w:rsidRPr="0006063C" w:rsidSect="00034616"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