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Muuntaja käyttöohje</w:t>
      </w:r>
    </w:p>
    <w:p>
      <w:pPr>
        <w:spacing w:after="160"/>
      </w:pPr>
      <w:r>
        <w:rPr>
          <w:rFonts w:ascii="Aptos" w:hAnsi="Aptos"/>
          <w:color w:val="373737"/>
          <w:sz w:val="28"/>
        </w:rPr>
        <w:t>Tiedostojen tuonti ja vienti ArcGIS Prossa</w:t>
      </w:r>
    </w:p>
    <w:p>
      <w:pPr>
        <w:spacing w:after="280"/>
      </w:pPr>
      <w:r>
        <w:rPr>
          <w:rFonts w:ascii="Aptos" w:hAnsi="Aptos"/>
          <w:color w:val="5A5A5A"/>
          <w:sz w:val="18"/>
        </w:rPr>
        <w:t>Versio 1.2.3 | Päivitetty 11.9.2026</w:t>
      </w:r>
    </w:p>
    <w:p>
      <w:pPr>
        <w:spacing w:after="200"/>
        <w:keepLines/>
      </w:pPr>
      <w:r>
        <w:t>Muuntaja kokoaa paikkatietoaineistojen tuonnin ja viennin yhteen ArcGIS Pro -työkaluun. Tuonnissa voit valita yksittäisiä tiedostoja, useita tiedostoja tai kansion. Vientitilassa valitset aktiivisen kartan tasot ja kirjoitat ne haluttuun tiedostomuotoon ilman, että vientituloksia lisätään kartalle.</w:t>
      </w:r>
    </w:p>
    <w:p>
      <w:pPr>
        <w:pStyle w:val="Heading1"/>
      </w:pPr>
      <w:r>
        <w:t>Pika aloitus</w:t>
      </w:r>
    </w:p>
    <w:p>
      <w:pPr>
        <w:spacing w:after="80"/>
        <w:ind w:left="369" w:hanging="369"/>
        <w:keepLines/>
      </w:pPr>
      <w:r>
        <w:rPr>
          <w:b/>
        </w:rPr>
        <w:t xml:space="preserve">1.  </w:t>
      </w:r>
      <w:r>
        <w:t>Avaa ArcGIS Pro -projekti ja valitse Add-In- tai Muuntaja-välilehdeltä Muuntaja.</w:t>
      </w:r>
    </w:p>
    <w:p>
      <w:pPr>
        <w:spacing w:after="80"/>
        <w:ind w:left="369" w:hanging="369"/>
        <w:keepLines/>
      </w:pPr>
      <w:r>
        <w:rPr>
          <w:b/>
        </w:rPr>
        <w:t xml:space="preserve">2.  </w:t>
      </w:r>
      <w:r>
        <w:t>Valitse kohdasta Mitä haluat tehdä joko Tuonti tai Vienti.</w:t>
      </w:r>
    </w:p>
    <w:p>
      <w:pPr>
        <w:spacing w:after="80"/>
        <w:ind w:left="369" w:hanging="369"/>
        <w:keepLines/>
      </w:pPr>
      <w:r>
        <w:rPr>
          <w:b/>
        </w:rPr>
        <w:t xml:space="preserve">3.  </w:t>
      </w:r>
      <w:r>
        <w:t>Tuonnissa valitse tiedostot tai kansio. Vientitilassa valitse vietävät karttatasot.</w:t>
      </w:r>
    </w:p>
    <w:p>
      <w:pPr>
        <w:spacing w:after="80"/>
        <w:ind w:left="369" w:hanging="369"/>
        <w:keepLines/>
      </w:pPr>
      <w:r>
        <w:rPr>
          <w:b/>
        </w:rPr>
        <w:t xml:space="preserve">4.  </w:t>
      </w:r>
      <w:r>
        <w:t>Tarkista aktiivisessa tilassa näkyvät asetukset ja valitse tallennuspaikka tai vientikansio.</w:t>
      </w:r>
    </w:p>
    <w:p>
      <w:pPr>
        <w:spacing w:after="80"/>
        <w:ind w:left="369" w:hanging="369"/>
        <w:keepLines/>
      </w:pPr>
      <w:r>
        <w:rPr>
          <w:b/>
        </w:rPr>
        <w:t xml:space="preserve">5.  </w:t>
      </w:r>
      <w:r>
        <w:t>Paina Run. Seuraa etenemistä Messages-välilehdeltä.</w:t>
      </w:r>
    </w:p>
    <w:p>
      <w:pPr>
        <w:pStyle w:val="Heading1"/>
      </w:pPr>
      <w:r>
        <w:t>Tuetut muodot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360"/>
            <w:shd w:fill="0B4F8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Toiminto</w:t>
            </w:r>
          </w:p>
        </w:tc>
        <w:tc>
          <w:tcPr>
            <w:tcW w:type="dxa" w:w="4025"/>
            <w:shd w:fill="0B4F8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Muodot</w:t>
            </w:r>
          </w:p>
        </w:tc>
        <w:tc>
          <w:tcPr>
            <w:tcW w:type="dxa" w:w="4025"/>
            <w:shd w:fill="0B4F8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Huomio</w:t>
            </w:r>
          </w:p>
        </w:tc>
      </w:tr>
      <w:tr>
        <w:tc>
          <w:tcPr>
            <w:tcW w:type="dxa" w:w="1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Aptos" w:hAnsi="Aptos"/>
                <w:sz w:val="18"/>
              </w:rPr>
              <w:t>Tuonti</w:t>
            </w:r>
          </w:p>
        </w:tc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Aptos" w:hAnsi="Aptos"/>
                <w:sz w:val="18"/>
              </w:rPr>
              <w:t>GPKG, GeoJSON, JSON, KML, KMZ, GPX, DWG, DXF, DFSU, SHP</w:t>
            </w:r>
          </w:p>
        </w:tc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Aptos" w:hAnsi="Aptos"/>
                <w:sz w:val="18"/>
              </w:rPr>
              <w:t>Kansiotuonti tunnistaa muodot automaattisesti.</w:t>
            </w:r>
          </w:p>
        </w:tc>
      </w:tr>
      <w:tr>
        <w:tc>
          <w:tcPr>
            <w:tcW w:type="dxa" w:w="1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8"/>
          </w:tcPr>
          <w:p>
            <w:pPr>
              <w:spacing w:after="0" w:line="247" w:lineRule="auto"/>
            </w:pPr>
            <w:r>
              <w:rPr>
                <w:rFonts w:ascii="Aptos" w:hAnsi="Aptos"/>
                <w:sz w:val="18"/>
              </w:rPr>
              <w:t>Vienti</w:t>
            </w:r>
          </w:p>
        </w:tc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8"/>
          </w:tcPr>
          <w:p>
            <w:pPr>
              <w:spacing w:after="0" w:line="247" w:lineRule="auto"/>
            </w:pPr>
            <w:r>
              <w:rPr>
                <w:rFonts w:ascii="Aptos" w:hAnsi="Aptos"/>
                <w:sz w:val="18"/>
              </w:rPr>
              <w:t>GPKG, DWG, DXF, GeoJSON, SHP, KML, KMZ</w:t>
            </w:r>
          </w:p>
        </w:tc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8"/>
          </w:tcPr>
          <w:p>
            <w:pPr>
              <w:spacing w:after="0" w:line="247" w:lineRule="auto"/>
            </w:pPr>
            <w:r>
              <w:rPr>
                <w:rFonts w:ascii="Aptos" w:hAnsi="Aptos"/>
                <w:sz w:val="18"/>
              </w:rPr>
              <w:t>Tiedostonimet muodostetaan automaattisesti eikä aiempaa tiedostoa ylikirjoiteta.</w:t>
            </w:r>
          </w:p>
        </w:tc>
      </w:tr>
    </w:tbl>
    <w:p>
      <w:pPr>
        <w:spacing w:after="20"/>
      </w:pPr>
    </w:p>
    <w:p>
      <w:pPr>
        <w:pStyle w:val="Heading1"/>
      </w:pPr>
      <w:r>
        <w:t>Tuonti</w:t>
      </w:r>
    </w:p>
    <w:p>
      <w:pPr>
        <w:spacing w:after="200"/>
        <w:keepLines/>
      </w:pPr>
      <w:r>
        <w:t>Tuonti tallentaa muunnetut aineistot valittuun työtilaan ja lisää valmiit tasot ArcGIS Prohon. Tallennuspaikkana käytetään oletuksena avoimen projektin oletusgeodatabasea.</w:t>
      </w:r>
    </w:p>
    <w:p>
      <w:pPr>
        <w:pStyle w:val="Heading2"/>
      </w:pPr>
      <w:r>
        <w:t>Tiedostojen ja kansioiden valinta</w:t>
      </w:r>
    </w:p>
    <w:p>
      <w:pPr>
        <w:pStyle w:val="ListBullet"/>
        <w:spacing w:after="60"/>
        <w:keepLines/>
      </w:pPr>
      <w:r>
        <w:t>Voit valita yhden tiedoston, useita tiedostoja, yhden kansion tai useita kansioita.</w:t>
      </w:r>
    </w:p>
    <w:p>
      <w:pPr>
        <w:pStyle w:val="ListBullet"/>
        <w:spacing w:after="60"/>
        <w:keepLines/>
      </w:pPr>
      <w:r>
        <w:t>Kun annat kansion, työkalu skannaa myös kaikki alikansiot.</w:t>
      </w:r>
    </w:p>
    <w:p>
      <w:pPr>
        <w:pStyle w:val="ListBullet"/>
        <w:spacing w:after="60"/>
        <w:keepLines/>
      </w:pPr>
      <w:r>
        <w:t>Samassa kansiopuussa voi olla sekaisin kaikkia tuettuja tiedostomuotoja.</w:t>
      </w:r>
    </w:p>
    <w:p>
      <w:pPr>
        <w:pStyle w:val="ListBullet"/>
        <w:spacing w:after="60"/>
        <w:keepLines/>
      </w:pPr>
      <w:r>
        <w:t>Shapefilen sivutiedostot, kuten DBF, SHX ja PRJ, ohitetaan. Varsinainen SHP käsitellään kerran.</w:t>
      </w:r>
    </w:p>
    <w:p>
      <w:pPr>
        <w:pStyle w:val="ListBullet"/>
        <w:spacing w:after="60"/>
        <w:keepLines/>
      </w:pPr>
      <w:r>
        <w:t>Jokainen löydetty aineisto käsitellään erikseen. Samannimiset tulokset nimetään yksilöllisesti.</w:t>
      </w:r>
    </w:p>
    <w:p>
      <w:pPr>
        <w:pStyle w:val="ListBullet"/>
        <w:spacing w:after="60"/>
        <w:keepLines/>
      </w:pPr>
      <w:r>
        <w:t>GeoPackage-tasolle käytetään sen varsinaista tasonimeä. Muuntajalla viety ja takaisin tuotu taso ei jää yleisnimelle main.</w:t>
      </w:r>
    </w:p>
    <w:p>
      <w:pPr>
        <w:pStyle w:val="Heading2"/>
      </w:pPr>
      <w:r>
        <w:t>Tuonnin asetukset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4876"/>
        <w:gridCol w:w="4876"/>
      </w:tblGrid>
      <w:tr>
        <w:trPr>
          <w:tblHeader w:val="true"/>
        </w:trPr>
        <w:tc>
          <w:tcPr>
            <w:tcW w:type="dxa" w:w="2551"/>
            <w:shd w:fill="0B4F8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Asetus</w:t>
            </w:r>
          </w:p>
        </w:tc>
        <w:tc>
          <w:tcPr>
            <w:tcW w:type="dxa" w:w="6860"/>
            <w:shd w:fill="0B4F8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Käyttö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Aptos" w:hAnsi="Aptos"/>
                <w:sz w:val="18"/>
              </w:rPr>
              <w:t>Syöte</w:t>
            </w:r>
          </w:p>
        </w:tc>
        <w:tc>
          <w:tcPr>
            <w:tcW w:type="dxa" w:w="68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Aptos" w:hAnsi="Aptos"/>
                <w:sz w:val="18"/>
              </w:rPr>
              <w:t>Valitse tiedostoja tai kansioita. Kansio skannataan alikansioineen.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8"/>
          </w:tcPr>
          <w:p>
            <w:pPr>
              <w:spacing w:after="0" w:line="247" w:lineRule="auto"/>
            </w:pPr>
            <w:r>
              <w:rPr>
                <w:rFonts w:ascii="Aptos" w:hAnsi="Aptos"/>
                <w:sz w:val="18"/>
              </w:rPr>
              <w:t>Tallennuspaikka</w:t>
            </w:r>
          </w:p>
        </w:tc>
        <w:tc>
          <w:tcPr>
            <w:tcW w:type="dxa" w:w="68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8"/>
          </w:tcPr>
          <w:p>
            <w:pPr>
              <w:spacing w:after="0" w:line="247" w:lineRule="auto"/>
            </w:pPr>
            <w:r>
              <w:rPr>
                <w:rFonts w:ascii="Aptos" w:hAnsi="Aptos"/>
                <w:sz w:val="18"/>
              </w:rPr>
              <w:t>Oletuksena projektin geodatabase. Voit valita myös muun geodatabasen tai kansion.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Aptos" w:hAnsi="Aptos"/>
                <w:sz w:val="18"/>
              </w:rPr>
              <w:t>Siivoa CAD-tasoja</w:t>
            </w:r>
          </w:p>
        </w:tc>
        <w:tc>
          <w:tcPr>
            <w:tcW w:type="dxa" w:w="68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Aptos" w:hAnsi="Aptos"/>
                <w:sz w:val="18"/>
              </w:rPr>
              <w:t>Poistaa CAD-tuonnista tarpeettomia tasoja, kuten Defpoints, kun valinta on käytössä.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8"/>
          </w:tcPr>
          <w:p>
            <w:pPr>
              <w:spacing w:after="0" w:line="247" w:lineRule="auto"/>
            </w:pPr>
            <w:r>
              <w:rPr>
                <w:rFonts w:ascii="Aptos" w:hAnsi="Aptos"/>
                <w:sz w:val="18"/>
              </w:rPr>
              <w:t>CAD-lähtökoordinaatisto</w:t>
            </w:r>
          </w:p>
        </w:tc>
        <w:tc>
          <w:tcPr>
            <w:tcW w:type="dxa" w:w="68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8"/>
          </w:tcPr>
          <w:p>
            <w:pPr>
              <w:spacing w:after="0" w:line="247" w:lineRule="auto"/>
            </w:pPr>
            <w:r>
              <w:rPr>
                <w:rFonts w:ascii="Aptos" w:hAnsi="Aptos"/>
                <w:sz w:val="18"/>
              </w:rPr>
              <w:t>Automaattinen tunnistus on oletus. Tarvittaessa valitse ETRS-TM35FIN, ETRS-GK-kaista tai KKJ.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Aptos" w:hAnsi="Aptos"/>
                <w:sz w:val="18"/>
              </w:rPr>
              <w:t>Kohde-CRS</w:t>
            </w:r>
          </w:p>
        </w:tc>
        <w:tc>
          <w:tcPr>
            <w:tcW w:type="dxa" w:w="68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Aptos" w:hAnsi="Aptos"/>
                <w:sz w:val="18"/>
              </w:rPr>
              <w:t>Koskee vain CAD-tuontia. Tyhjänä aineisto säilyttää alkuperäisen koordinaatiston.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8"/>
          </w:tcPr>
          <w:p>
            <w:pPr>
              <w:spacing w:after="0" w:line="247" w:lineRule="auto"/>
            </w:pPr>
            <w:r>
              <w:rPr>
                <w:rFonts w:ascii="Aptos" w:hAnsi="Aptos"/>
                <w:sz w:val="18"/>
              </w:rPr>
              <w:t>DFSU-suodatus</w:t>
            </w:r>
          </w:p>
        </w:tc>
        <w:tc>
          <w:tcPr>
            <w:tcW w:type="dxa" w:w="68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8"/>
          </w:tcPr>
          <w:p>
            <w:pPr>
              <w:spacing w:after="0" w:line="247" w:lineRule="auto"/>
            </w:pPr>
            <w:r>
              <w:rPr>
                <w:rFonts w:ascii="Aptos" w:hAnsi="Aptos"/>
                <w:sz w:val="18"/>
              </w:rPr>
              <w:t>Rajaa tuotavat elementit valitun item-kentän, operaattorin ja arvon perusteella.</w:t>
            </w:r>
          </w:p>
        </w:tc>
      </w:tr>
    </w:tbl>
    <w:p>
      <w:pPr>
        <w:spacing w:after="20"/>
      </w:pPr>
    </w:p>
    <w:p>
      <w:pPr>
        <w:pStyle w:val="Heading2"/>
      </w:pPr>
      <w:r>
        <w:t>CAD tuonti</w:t>
      </w:r>
    </w:p>
    <w:p>
      <w:pPr>
        <w:pStyle w:val="ListBullet"/>
        <w:spacing w:after="60"/>
        <w:keepLines/>
      </w:pPr>
      <w:r>
        <w:t>Automaattinen tunnistus arvioi aineiston koordinaatiston geometriasta. Jos tunnet lähtökoordinaatiston varmasti, valitse se luettelosta.</w:t>
      </w:r>
    </w:p>
    <w:p>
      <w:pPr>
        <w:pStyle w:val="ListBullet"/>
        <w:spacing w:after="60"/>
        <w:keepLines/>
      </w:pPr>
      <w:r>
        <w:t>Kohde-CRS on valinnainen ja näkyy vain CAD-tuonnissa.</w:t>
      </w:r>
    </w:p>
    <w:p>
      <w:pPr>
        <w:pStyle w:val="ListBullet"/>
        <w:spacing w:after="60"/>
        <w:keepLines/>
      </w:pPr>
      <w:r>
        <w:t>DWG- ja DXF-aineistoista käsitellään käyttökelpoiset piste-, viiva-, alue- ja annotaatiotasot.</w:t>
      </w:r>
    </w:p>
    <w:p>
      <w:pPr>
        <w:pStyle w:val="ListBullet"/>
        <w:spacing w:after="60"/>
        <w:keepLines/>
      </w:pPr>
      <w:r>
        <w:t>Suurissa CAD-aineistoissa muunnos voi kestää. Messages-välilehti näyttää käsiteltävät tasot ja ajat.</w:t>
      </w:r>
    </w:p>
    <w:p>
      <w:pPr>
        <w:pStyle w:val="Heading2"/>
      </w:pPr>
      <w:r>
        <w:t>DFSU tuonti</w:t>
      </w:r>
    </w:p>
    <w:p>
      <w:pPr>
        <w:pStyle w:val="ListBullet"/>
        <w:spacing w:after="60"/>
        <w:keepLines/>
      </w:pPr>
      <w:r>
        <w:t>DFSU-tuonti lukee aineiston ensimmäisen aika-askeleen.</w:t>
      </w:r>
    </w:p>
    <w:p>
      <w:pPr>
        <w:pStyle w:val="ListBullet"/>
        <w:spacing w:after="60"/>
        <w:keepLines/>
      </w:pPr>
      <w:r>
        <w:t>Suodatus voidaan ottaa käyttöön, kun vähintään yksi DFSU-tiedosto on valittu.</w:t>
      </w:r>
    </w:p>
    <w:p>
      <w:pPr>
        <w:pStyle w:val="ListBullet"/>
        <w:spacing w:after="60"/>
        <w:keepLines/>
      </w:pPr>
      <w:r>
        <w:t>Valitse suodatettava item-kenttä, operaattori ja vertailuarvo. Tuetut operaattorit sisältävät numeeriset vertailut sekä tekstihaut.</w:t>
      </w:r>
    </w:p>
    <w:p>
      <w:pPr>
        <w:pStyle w:val="ListBullet"/>
        <w:spacing w:after="60"/>
        <w:keepLines/>
      </w:pPr>
      <w:r>
        <w:t>DFSU-käsittely käyttää mikeio-kirjastoa ArcGIS Pron Python-ympäristössä.</w:t>
      </w:r>
    </w:p>
    <w:p>
      <w:pPr>
        <w:pStyle w:val="Heading1"/>
      </w:pPr>
      <w:r>
        <w:t>Vienti</w:t>
      </w:r>
    </w:p>
    <w:p>
      <w:pPr>
        <w:spacing w:after="200"/>
        <w:keepLines/>
      </w:pPr>
      <w:r>
        <w:t>Vientitilassa syötetiedostoa ei anneta. Valitse sen sijaan yksi tai useampi vietävä taso ArcGIS Pron omalla monitasovalitsimella. Vientiprosessi kirjoittaa vain tiedostot eikä lisää niitä aktiiviselle kartalle.</w:t>
      </w:r>
    </w:p>
    <w:p>
      <w:pPr>
        <w:pStyle w:val="Heading2"/>
      </w:pPr>
      <w:r>
        <w:t>Vientivaiheet</w:t>
      </w:r>
    </w:p>
    <w:p>
      <w:pPr>
        <w:spacing w:after="80"/>
        <w:ind w:left="369" w:hanging="369"/>
        <w:keepLines/>
      </w:pPr>
      <w:r>
        <w:rPr>
          <w:b/>
        </w:rPr>
        <w:t xml:space="preserve">1.  </w:t>
      </w:r>
      <w:r>
        <w:t>Vaihda toimintatilaksi Vienti. Tuontitilan tiedosto- ja aiemmat tasovalinnat nollataan tilan vaihtuessa.</w:t>
      </w:r>
    </w:p>
    <w:p>
      <w:pPr>
        <w:spacing w:after="80"/>
        <w:ind w:left="369" w:hanging="369"/>
        <w:keepLines/>
      </w:pPr>
      <w:r>
        <w:rPr>
          <w:b/>
        </w:rPr>
        <w:t xml:space="preserve">2.  </w:t>
      </w:r>
      <w:r>
        <w:t>Valitse olemassa oleva vientikansio.</w:t>
      </w:r>
    </w:p>
    <w:p>
      <w:pPr>
        <w:spacing w:after="80"/>
        <w:ind w:left="369" w:hanging="369"/>
        <w:keepLines/>
      </w:pPr>
      <w:r>
        <w:rPr>
          <w:b/>
        </w:rPr>
        <w:t xml:space="preserve">3.  </w:t>
      </w:r>
      <w:r>
        <w:t>Valitse vientiformaatti.</w:t>
      </w:r>
    </w:p>
    <w:p>
      <w:pPr>
        <w:spacing w:after="80"/>
        <w:ind w:left="369" w:hanging="369"/>
        <w:keepLines/>
      </w:pPr>
      <w:r>
        <w:rPr>
          <w:b/>
        </w:rPr>
        <w:t xml:space="preserve">4.  </w:t>
      </w:r>
      <w:r>
        <w:t>Lisää vietävät tasot kohdassa Vienti - valitse mukaan vietävät tasot.</w:t>
      </w:r>
    </w:p>
    <w:p>
      <w:pPr>
        <w:spacing w:after="80"/>
        <w:ind w:left="369" w:hanging="369"/>
        <w:keepLines/>
      </w:pPr>
      <w:r>
        <w:rPr>
          <w:b/>
        </w:rPr>
        <w:t xml:space="preserve">5.  </w:t>
      </w:r>
      <w:r>
        <w:t>Jos viet useita tasoja GPKG-, DWG- tai DXF-muotoon, valitse yhteinen tiedosto tai oma tiedosto jokaiselle tasolle.</w:t>
      </w:r>
    </w:p>
    <w:p>
      <w:pPr>
        <w:spacing w:after="80"/>
        <w:ind w:left="369" w:hanging="369"/>
        <w:keepLines/>
      </w:pPr>
      <w:r>
        <w:rPr>
          <w:b/>
        </w:rPr>
        <w:t xml:space="preserve">6.  </w:t>
      </w:r>
      <w:r>
        <w:t>Määritä DWG/DXF-viennissä tarvittaessa tasokohtaiset tekstit ja attribuuttitaulukot.</w:t>
      </w:r>
    </w:p>
    <w:p>
      <w:pPr>
        <w:pStyle w:val="Heading2"/>
      </w:pPr>
      <w:r>
        <w:t>Monitasoviennin toiminta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4876"/>
        <w:gridCol w:w="4876"/>
      </w:tblGrid>
      <w:tr>
        <w:trPr>
          <w:tblHeader w:val="true"/>
        </w:trPr>
        <w:tc>
          <w:tcPr>
            <w:tcW w:type="dxa" w:w="2268"/>
            <w:shd w:fill="0B4F8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Muoto</w:t>
            </w:r>
          </w:p>
        </w:tc>
        <w:tc>
          <w:tcPr>
            <w:tcW w:type="dxa" w:w="7144"/>
            <w:shd w:fill="0B4F8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Usean tason tulos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Aptos" w:hAnsi="Aptos"/>
                <w:sz w:val="18"/>
              </w:rPr>
              <w:t>Shapefile</w:t>
            </w:r>
          </w:p>
        </w:tc>
        <w:tc>
          <w:tcPr>
            <w:tcW w:type="dxa" w:w="71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Aptos" w:hAnsi="Aptos"/>
                <w:sz w:val="18"/>
              </w:rPr>
              <w:t>Jokainen taso viedään aina omaksi SHP-tiedostoksi.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8"/>
          </w:tcPr>
          <w:p>
            <w:pPr>
              <w:spacing w:after="0" w:line="247" w:lineRule="auto"/>
            </w:pPr>
            <w:r>
              <w:rPr>
                <w:rFonts w:ascii="Aptos" w:hAnsi="Aptos"/>
                <w:sz w:val="18"/>
              </w:rPr>
              <w:t>GeoJSON</w:t>
            </w:r>
          </w:p>
        </w:tc>
        <w:tc>
          <w:tcPr>
            <w:tcW w:type="dxa" w:w="71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8"/>
          </w:tcPr>
          <w:p>
            <w:pPr>
              <w:spacing w:after="0" w:line="247" w:lineRule="auto"/>
            </w:pPr>
            <w:r>
              <w:rPr>
                <w:rFonts w:ascii="Aptos" w:hAnsi="Aptos"/>
                <w:sz w:val="18"/>
              </w:rPr>
              <w:t>Jokainen taso viedään aina omaksi GeoJSON-tiedostoksi.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Aptos" w:hAnsi="Aptos"/>
                <w:sz w:val="18"/>
              </w:rPr>
              <w:t>KML ja KMZ</w:t>
            </w:r>
          </w:p>
        </w:tc>
        <w:tc>
          <w:tcPr>
            <w:tcW w:type="dxa" w:w="71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Aptos" w:hAnsi="Aptos"/>
                <w:sz w:val="18"/>
              </w:rPr>
              <w:t>Jokainen taso viedään aina omaksi KML- tai KMZ-tiedostoksi.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8"/>
          </w:tcPr>
          <w:p>
            <w:pPr>
              <w:spacing w:after="0" w:line="247" w:lineRule="auto"/>
            </w:pPr>
            <w:r>
              <w:rPr>
                <w:rFonts w:ascii="Aptos" w:hAnsi="Aptos"/>
                <w:sz w:val="18"/>
              </w:rPr>
              <w:t>GPKG</w:t>
            </w:r>
          </w:p>
        </w:tc>
        <w:tc>
          <w:tcPr>
            <w:tcW w:type="dxa" w:w="71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8"/>
          </w:tcPr>
          <w:p>
            <w:pPr>
              <w:spacing w:after="0" w:line="247" w:lineRule="auto"/>
            </w:pPr>
            <w:r>
              <w:rPr>
                <w:rFonts w:ascii="Aptos" w:hAnsi="Aptos"/>
                <w:sz w:val="18"/>
              </w:rPr>
              <w:t>Valitse kaikki tasot samaan GeoPackageen tai oma GeoPackage jokaiselle tasolle.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Aptos" w:hAnsi="Aptos"/>
                <w:sz w:val="18"/>
              </w:rPr>
              <w:t>DWG ja DXF</w:t>
            </w:r>
          </w:p>
        </w:tc>
        <w:tc>
          <w:tcPr>
            <w:tcW w:type="dxa" w:w="71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Aptos" w:hAnsi="Aptos"/>
                <w:sz w:val="18"/>
              </w:rPr>
              <w:t>Valitse kaikki tasot samaan CAD-tiedostoon tai oma tiedosto jokaiselle tasolle.</w:t>
            </w:r>
          </w:p>
        </w:tc>
      </w:tr>
    </w:tbl>
    <w:p>
      <w:pPr>
        <w:spacing w:after="20"/>
      </w:pPr>
    </w:p>
    <w:p>
      <w:pPr>
        <w:spacing w:after="120"/>
        <w:keepLines/>
      </w:pPr>
      <w:r>
        <w:rPr>
          <w:b/>
        </w:rPr>
        <w:t xml:space="preserve">Shapefile-rajoitus. </w:t>
      </w:r>
      <w:r>
        <w:t>DBF-attribuuttitaululla on kenttänimi-, kenttätyyppi- ja rivipituusrajoituksia. Jos aineistossa on hyvin paljon tai hyvin leveitä kenttiä, käytä ensisijaisesti GPKG-muotoa.</w:t>
      </w:r>
    </w:p>
    <w:p>
      <w:pPr>
        <w:pStyle w:val="Heading2"/>
      </w:pPr>
      <w:r>
        <w:t>CAD vienti</w:t>
      </w:r>
    </w:p>
    <w:p>
      <w:pPr>
        <w:spacing w:after="200"/>
        <w:keepLines/>
      </w:pPr>
      <w:r>
        <w:t>Kun vientiformaatti on DWG tai DXF ja tasot on valittu, työkalu muodostaa tasokohtaiset asetusrivit. Jokainen rivi koskee vain siinä näkyvää tasoa.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4876"/>
        <w:gridCol w:w="4876"/>
      </w:tblGrid>
      <w:tr>
        <w:trPr>
          <w:tblHeader w:val="true"/>
        </w:trPr>
        <w:tc>
          <w:tcPr>
            <w:tcW w:type="dxa" w:w="2835"/>
            <w:shd w:fill="0B4F8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Valinta</w:t>
            </w:r>
          </w:p>
        </w:tc>
        <w:tc>
          <w:tcPr>
            <w:tcW w:type="dxa" w:w="6577"/>
            <w:shd w:fill="0B4F8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Toiminta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Aptos" w:hAnsi="Aptos"/>
                <w:sz w:val="18"/>
              </w:rPr>
              <w:t>Vie tekstit</w:t>
            </w:r>
          </w:p>
        </w:tc>
        <w:tc>
          <w:tcPr>
            <w:tcW w:type="dxa" w:w="657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Aptos" w:hAnsi="Aptos"/>
                <w:sz w:val="18"/>
              </w:rPr>
              <w:t>Kytke päälle halutulle tasolle ja valitse saman rivin Teksti-/labelkenttä. Kentän arvot viedään CAD Text -kohteiksi.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8"/>
          </w:tcPr>
          <w:p>
            <w:pPr>
              <w:spacing w:after="0" w:line="247" w:lineRule="auto"/>
            </w:pPr>
            <w:r>
              <w:rPr>
                <w:rFonts w:ascii="Aptos" w:hAnsi="Aptos"/>
                <w:sz w:val="18"/>
              </w:rPr>
              <w:t>Luo attribuuttitaulu</w:t>
            </w:r>
          </w:p>
        </w:tc>
        <w:tc>
          <w:tcPr>
            <w:tcW w:type="dxa" w:w="657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8"/>
          </w:tcPr>
          <w:p>
            <w:pPr>
              <w:spacing w:after="0" w:line="247" w:lineRule="auto"/>
            </w:pPr>
            <w:r>
              <w:rPr>
                <w:rFonts w:ascii="Aptos" w:hAnsi="Aptos"/>
                <w:sz w:val="18"/>
              </w:rPr>
              <w:t>Kytke päälle vain niille tasoille, joille taulukko tarvitaan. Kaikki tulostuskelpoiset kentät otetaan mukaan automaattisesti.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Aptos" w:hAnsi="Aptos"/>
                <w:sz w:val="18"/>
              </w:rPr>
              <w:t>Useita taulukoita</w:t>
            </w:r>
          </w:p>
        </w:tc>
        <w:tc>
          <w:tcPr>
            <w:tcW w:type="dxa" w:w="657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Aptos" w:hAnsi="Aptos"/>
                <w:sz w:val="18"/>
              </w:rPr>
              <w:t>Jokaiselle valitulle tasolle luodaan oma nimetty taulukko. Yhteiseen CAD-tiedostoon muodostetut taulukot sijoitetaan vierekkäin.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8"/>
          </w:tcPr>
          <w:p>
            <w:pPr>
              <w:spacing w:after="0" w:line="247" w:lineRule="auto"/>
            </w:pPr>
            <w:r>
              <w:rPr>
                <w:rFonts w:ascii="Aptos" w:hAnsi="Aptos"/>
                <w:sz w:val="18"/>
              </w:rPr>
              <w:t>Paketointi</w:t>
            </w:r>
          </w:p>
        </w:tc>
        <w:tc>
          <w:tcPr>
            <w:tcW w:type="dxa" w:w="657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8"/>
          </w:tcPr>
          <w:p>
            <w:pPr>
              <w:spacing w:after="0" w:line="247" w:lineRule="auto"/>
            </w:pPr>
            <w:r>
              <w:rPr>
                <w:rFonts w:ascii="Aptos" w:hAnsi="Aptos"/>
                <w:sz w:val="18"/>
              </w:rPr>
              <w:t>Yhteinen tiedosto sisältää kaikkien valittujen tasojen geometriat, tekstit ja valitut taulukot. Tasokohtainen paketointi luo erilliset CAD-tiedostot.</w:t>
            </w:r>
          </w:p>
        </w:tc>
      </w:tr>
    </w:tbl>
    <w:p>
      <w:pPr>
        <w:spacing w:after="20"/>
      </w:pPr>
    </w:p>
    <w:p>
      <w:pPr>
        <w:spacing w:after="120"/>
        <w:keepLines/>
      </w:pPr>
      <w:r>
        <w:rPr>
          <w:b/>
        </w:rPr>
        <w:t xml:space="preserve">Huomio. </w:t>
      </w:r>
      <w:r>
        <w:t>Labelkentän valintaluettelo määräytyy tasokohtaisesti. Jos tekstiä ei haluta tietylle tasolle, jätä Vie tekstit pois päältä.</w:t>
      </w:r>
    </w:p>
    <w:p>
      <w:pPr>
        <w:pStyle w:val="Heading2"/>
      </w:pPr>
      <w:r>
        <w:t>Nimeäminen ja karttasisältö</w:t>
      </w:r>
    </w:p>
    <w:p>
      <w:pPr>
        <w:pStyle w:val="ListBullet"/>
        <w:spacing w:after="60"/>
        <w:keepLines/>
      </w:pPr>
      <w:r>
        <w:t>Tiedostonimi muodostetaan tasojen nimistä ja aikaleimasta.</w:t>
      </w:r>
    </w:p>
    <w:p>
      <w:pPr>
        <w:pStyle w:val="ListBullet"/>
        <w:spacing w:after="60"/>
        <w:keepLines/>
      </w:pPr>
      <w:r>
        <w:t>Tasokohtaisessa viennissä jokaisen tiedoston nimi sisältää kyseisen tason nimen.</w:t>
      </w:r>
    </w:p>
    <w:p>
      <w:pPr>
        <w:pStyle w:val="ListBullet"/>
        <w:spacing w:after="60"/>
        <w:keepLines/>
      </w:pPr>
      <w:r>
        <w:t>GeoPackagen sisäinen tasonimi perustuu alkuperäiseen tasonimeen.</w:t>
      </w:r>
    </w:p>
    <w:p>
      <w:pPr>
        <w:pStyle w:val="ListBullet"/>
        <w:spacing w:after="60"/>
        <w:keepLines/>
      </w:pPr>
      <w:r>
        <w:t>Vienti ei lisää tulostiedostoja kartalle. Tuonti lisää valmiit aineistot työtilaan ja kartalle.</w:t>
      </w:r>
    </w:p>
    <w:p>
      <w:pPr>
        <w:pStyle w:val="Heading1"/>
      </w:pPr>
      <w:r>
        <w:t>Vianhaku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4876"/>
        <w:gridCol w:w="4876"/>
      </w:tblGrid>
      <w:tr>
        <w:trPr>
          <w:tblHeader w:val="true"/>
        </w:trPr>
        <w:tc>
          <w:tcPr>
            <w:tcW w:type="dxa" w:w="2948"/>
            <w:shd w:fill="0B4F8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Tilanne</w:t>
            </w:r>
          </w:p>
        </w:tc>
        <w:tc>
          <w:tcPr>
            <w:tcW w:type="dxa" w:w="6463"/>
            <w:shd w:fill="0B4F8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Ratkaisu</w:t>
            </w:r>
          </w:p>
        </w:tc>
      </w:tr>
      <w:tr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Aptos" w:hAnsi="Aptos"/>
                <w:sz w:val="18"/>
              </w:rPr>
              <w:t>Fix the missing or invalid parameters</w:t>
            </w:r>
          </w:p>
        </w:tc>
        <w:tc>
          <w:tcPr>
            <w:tcW w:type="dxa" w:w="64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Aptos" w:hAnsi="Aptos"/>
                <w:sz w:val="18"/>
              </w:rPr>
              <w:t>Tarkista vain aktiivisessa tilassa näkyvät kentät. Tuonnissa tarvitaan syöte ja tallennuspaikka. Vientitilassa tarvitaan vientikansio, formaatti ja vähintään yksi taso.</w:t>
            </w:r>
          </w:p>
        </w:tc>
      </w:tr>
      <w:tr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8"/>
          </w:tcPr>
          <w:p>
            <w:pPr>
              <w:spacing w:after="0" w:line="247" w:lineRule="auto"/>
            </w:pPr>
            <w:r>
              <w:rPr>
                <w:rFonts w:ascii="Aptos" w:hAnsi="Aptos"/>
                <w:sz w:val="18"/>
              </w:rPr>
              <w:t>Kansiota ei hyväksytä</w:t>
            </w:r>
          </w:p>
        </w:tc>
        <w:tc>
          <w:tcPr>
            <w:tcW w:type="dxa" w:w="64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8"/>
          </w:tcPr>
          <w:p>
            <w:pPr>
              <w:spacing w:after="0" w:line="247" w:lineRule="auto"/>
            </w:pPr>
            <w:r>
              <w:rPr>
                <w:rFonts w:ascii="Aptos" w:hAnsi="Aptos"/>
                <w:sz w:val="18"/>
              </w:rPr>
              <w:t>Valitse olemassa oleva kansio kansiovalitsimella tai anna täydellinen polku. Työkalu skannaa alikansiot vasta, kun kansio on kelvollinen.</w:t>
            </w:r>
          </w:p>
        </w:tc>
      </w:tr>
      <w:tr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Aptos" w:hAnsi="Aptos"/>
                <w:sz w:val="18"/>
              </w:rPr>
              <w:t>Vientitaso puuttuu</w:t>
            </w:r>
          </w:p>
        </w:tc>
        <w:tc>
          <w:tcPr>
            <w:tcW w:type="dxa" w:w="64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Aptos" w:hAnsi="Aptos"/>
                <w:sz w:val="18"/>
              </w:rPr>
              <w:t>Lisää tasot Vienti - valitse mukaan vietävät tasot -kohdan omalla Add another -toiminnolla.</w:t>
            </w:r>
          </w:p>
        </w:tc>
      </w:tr>
      <w:tr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8"/>
          </w:tcPr>
          <w:p>
            <w:pPr>
              <w:spacing w:after="0" w:line="247" w:lineRule="auto"/>
            </w:pPr>
            <w:r>
              <w:rPr>
                <w:rFonts w:ascii="Aptos" w:hAnsi="Aptos"/>
                <w:sz w:val="18"/>
              </w:rPr>
              <w:t>CAD-labelkenttä puuttuu</w:t>
            </w:r>
          </w:p>
        </w:tc>
        <w:tc>
          <w:tcPr>
            <w:tcW w:type="dxa" w:w="64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8"/>
          </w:tcPr>
          <w:p>
            <w:pPr>
              <w:spacing w:after="0" w:line="247" w:lineRule="auto"/>
            </w:pPr>
            <w:r>
              <w:rPr>
                <w:rFonts w:ascii="Aptos" w:hAnsi="Aptos"/>
                <w:sz w:val="18"/>
              </w:rPr>
              <w:t>Valitse tason omalta riviltä Vie tekstit ja sen jälkeen kyseiselle tasolle kuuluva kenttä.</w:t>
            </w:r>
          </w:p>
        </w:tc>
      </w:tr>
      <w:tr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Aptos" w:hAnsi="Aptos"/>
                <w:sz w:val="18"/>
              </w:rPr>
              <w:t>Työkalu näyttää vanhalta tai kaatuu</w:t>
            </w:r>
          </w:p>
        </w:tc>
        <w:tc>
          <w:tcPr>
            <w:tcW w:type="dxa" w:w="64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7" w:lineRule="auto"/>
            </w:pPr>
            <w:r>
              <w:rPr>
                <w:rFonts w:ascii="Aptos" w:hAnsi="Aptos"/>
                <w:sz w:val="18"/>
              </w:rPr>
              <w:t>Varmista, että asennettuna on Muuntaja 1.2.3. Sulje ArcGIS Pro, asenna uusi esriAddInX-paketti ja käynnistä sovellus uudelleen.</w:t>
            </w:r>
          </w:p>
        </w:tc>
      </w:tr>
    </w:tbl>
    <w:p>
      <w:pPr>
        <w:spacing w:after="20"/>
      </w:pPr>
    </w:p>
    <w:p>
      <w:pPr>
        <w:pStyle w:val="Heading1"/>
      </w:pPr>
      <w:r>
        <w:t>Asennus ja vaatimukset</w:t>
      </w:r>
    </w:p>
    <w:p>
      <w:pPr>
        <w:pStyle w:val="ListBullet"/>
        <w:spacing w:after="60"/>
        <w:keepLines/>
      </w:pPr>
      <w:r>
        <w:t>ArcGIS Pro 3.5 tai uudempi yhteensopiva versio.</w:t>
      </w:r>
    </w:p>
    <w:p>
      <w:pPr>
        <w:pStyle w:val="ListBullet"/>
        <w:spacing w:after="60"/>
        <w:keepLines/>
      </w:pPr>
      <w:r>
        <w:t>Asenna Muuntaja.esriAddInX kaksoisklikkaamalla pakettia ja käynnistä ArcGIS Pro uudelleen.</w:t>
      </w:r>
    </w:p>
    <w:p>
      <w:pPr>
        <w:pStyle w:val="ListBullet"/>
        <w:spacing w:after="60"/>
        <w:keepLines/>
      </w:pPr>
      <w:r>
        <w:t>DFSU-tuonti tarvitsee mikeio-kirjaston. Verkkoyhteys voi olla tarpeen kirjaston asentamiseen.</w:t>
      </w:r>
    </w:p>
    <w:sectPr w:rsidR="00FC693F" w:rsidRPr="0006063C" w:rsidSect="00034616">
      <w:pgSz w:w="11906" w:h="16838"/>
      <w:pgMar w:top="964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