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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Suomenväylät.fi</w:t>
      </w:r>
    </w:p>
    <w:p>
      <w:pPr>
        <w:pStyle w:val="Subtitle"/>
      </w:pPr>
      <w:r>
        <w:t xml:space="preserve">Käyttöohje aineistojen ja taustakarttojen lataamiseen ArcGIS Prossa</w:t>
      </w:r>
    </w:p>
    <w:p>
      <w:pPr>
        <w:pStyle w:val="Muted"/>
      </w:pPr>
      <w:r>
        <w:t xml:space="preserve">Versio 1.0 | Päivitetty 2.6.2026 | Ramboll</w:t>
      </w:r>
    </w:p>
    <w:p>
      <w:pPr>
        <w:pStyle w:val="Callout"/>
      </w:pPr>
      <w:r>
        <w:t xml:space="preserve">Tämä ohje kertoo nopeasti, miten Suomenväylät.fi-työkalulla haetaan väylä-, Digiroad-, MML-, SYKE-, Liiteri-, Karttapaikka-, Kapsi- ja OpenStreetMap-aineistoja rajatulle alueelle. Työkalu kirjaa käynnistykset automaattisesti ajansäästön raportointia varten. Jos loggeri tai tietokantayhteys ei vastaa, työkalu toimii silti normaalisti.</w:t>
      </w:r>
    </w:p>
    <w:p>
      <w:pPr>
        <w:pStyle w:val="Heading1"/>
      </w:pPr>
      <w:r>
        <w:t xml:space="preserve">Pika-aloitus</w:t>
      </w:r>
    </w:p>
    <w:p>
      <w:pPr>
        <w:pStyle w:val="StepTitle"/>
      </w:pPr>
      <w:r>
        <w:t xml:space="preserve">1. Avaa työkalu</w:t>
      </w:r>
    </w:p>
    <w:p>
      <w:pPr>
        <w:pStyle w:val="BodyText"/>
      </w:pPr>
      <w:r>
        <w:t xml:space="preserve">Avaa ArcGIS Pro ja paina Add-in-välilehdellä Suomenväylät.fi-painiketta. Geoprocessing-paneeli avautuu.</w:t>
      </w:r>
    </w:p>
    <w:p>
      <w:pPr>
        <w:pStyle w:val="StepTitle"/>
      </w:pPr>
      <w:r>
        <w:t xml:space="preserve">2. Valitse aineisto</w:t>
      </w:r>
    </w:p>
    <w:p>
      <w:pPr>
        <w:pStyle w:val="BodyText"/>
      </w:pPr>
      <w:r>
        <w:t xml:space="preserve">Valitse yksi tai useampi rajapinta ja sen jälkeen ladattavat tasot. Voit rajata pitkää tasolistaa kirjoittamalla hakusanalla.</w:t>
      </w:r>
    </w:p>
    <w:p>
      <w:pPr>
        <w:pStyle w:val="StepTitle"/>
      </w:pPr>
      <w:r>
        <w:t xml:space="preserve">3. Rajaa alue</w:t>
      </w:r>
    </w:p>
    <w:p>
      <w:pPr>
        <w:pStyle w:val="BodyText"/>
      </w:pPr>
      <w:r>
        <w:t xml:space="preserve">Valitse aluerajauksen taso, esimerkiksi Kunta/Kaupunki, Maakunta tai Oma aineisto. Jos valitset oman aineiston, anna polygon- tai polyline-taso.</w:t>
      </w:r>
    </w:p>
    <w:p>
      <w:pPr>
        <w:pStyle w:val="StepTitle"/>
      </w:pPr>
      <w:r>
        <w:t xml:space="preserve">4. Valitse tallennuspaikka</w:t>
      </w:r>
    </w:p>
    <w:p>
      <w:pPr>
        <w:pStyle w:val="BodyText"/>
      </w:pPr>
      <w:r>
        <w:t xml:space="preserve">Käytä projektin oletusgeodatabasea tai valitse toinen GDB tai kansio. Kansioon tallennettaessa shapefile-rajoitukset huomioidaan automaattisesti.</w:t>
      </w:r>
    </w:p>
    <w:p>
      <w:pPr>
        <w:pStyle w:val="StepTitle"/>
      </w:pPr>
      <w:r>
        <w:t xml:space="preserve">5. Suorita</w:t>
      </w:r>
    </w:p>
    <w:p>
      <w:pPr>
        <w:pStyle w:val="BodyText"/>
      </w:pPr>
      <w:r>
        <w:t xml:space="preserve">Paina Run. Työkalu lataa aineistot, leikkaa ne rajaukseen, tallentaa tulokset ja lisää valmiit tasot kartalle.</w:t>
      </w:r>
    </w:p>
    <w:p>
      <w:pPr>
        <w:pStyle w:val="Heading1"/>
      </w:pPr>
      <w:r>
        <w:t xml:space="preserve">Mitä työkalu tekee?</w:t>
      </w:r>
    </w:p>
    <w:tbl>
      <w:tblPr>
        <w:tblStyle w:val="TableGrid"/>
        <w:tblW w:w="0" w:type="auto"/>
        <w:tblLook w:val="04A0"/>
      </w:tblPr>
      <w:tr>
        <w:tc>
          <w:tcPr>
            <w:shd w:fill="D9EAF7"/>
            <w:tcMar>
              <w:top w:val="120"/>
              <w:left w:val="160"/>
              <w:bottom w:val="120"/>
              <w:right w:val="160"/>
            </w:tcMar>
          </w:tcPr>
          <w:p>
            <w:r>
              <w:rPr>
                <w:b/>
              </w:rPr>
              <w:t xml:space="preserve">Osa</w:t>
            </w:r>
          </w:p>
        </w:tc>
        <w:tc>
          <w:tcPr>
            <w:shd w:fill="D9EAF7"/>
            <w:tcMar>
              <w:top w:val="120"/>
              <w:left w:val="160"/>
              <w:bottom w:val="120"/>
              <w:right w:val="160"/>
            </w:tcMar>
          </w:tcPr>
          <w:p>
            <w:r>
              <w:rPr>
                <w:b/>
              </w:rPr>
              <w:t xml:space="preserve">Käyttö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Suomenväylät.fi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Lataa valittuja WFS- ja OSM-aineistoja valitulle aluerajaukselle.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Taustakartat (MML/Kapsi)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Tuo MML- tai Kapsi-taustakarttoja live-tasona tai rasterina.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Automaattinen logitus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Kirjaa työkalun käynnistyksen raportointiin. Epäonnistunut logitus ei keskeytä käyttöä.</w:t>
            </w:r>
          </w:p>
        </w:tc>
      </w:tr>
    </w:tbl>
    <w:p>
      <w:pPr>
        <w:pStyle w:val="Heading1"/>
      </w:pPr>
      <w:r>
        <w:t xml:space="preserve">Suomenväylät.fi: aineistolataus</w:t>
      </w:r>
    </w:p>
    <w:tbl>
      <w:tblPr>
        <w:tblStyle w:val="TableGrid"/>
        <w:tblW w:w="0" w:type="auto"/>
        <w:tblLook w:val="04A0"/>
      </w:tblPr>
      <w:tr>
        <w:tc>
          <w:tcPr>
            <w:shd w:fill="D9EAF7"/>
            <w:tcMar>
              <w:top w:val="120"/>
              <w:left w:val="160"/>
              <w:bottom w:val="120"/>
              <w:right w:val="160"/>
            </w:tcMar>
          </w:tcPr>
          <w:p>
            <w:r>
              <w:rPr>
                <w:b/>
              </w:rPr>
              <w:t xml:space="preserve">Kenttä</w:t>
            </w:r>
          </w:p>
        </w:tc>
        <w:tc>
          <w:tcPr>
            <w:shd w:fill="D9EAF7"/>
            <w:tcMar>
              <w:top w:val="120"/>
              <w:left w:val="160"/>
              <w:bottom w:val="120"/>
              <w:right w:val="160"/>
            </w:tcMar>
          </w:tcPr>
          <w:p>
            <w:r>
              <w:rPr>
                <w:b/>
              </w:rPr>
              <w:t xml:space="preserve">Mitä valitaan</w:t>
            </w:r>
          </w:p>
        </w:tc>
        <w:tc>
          <w:tcPr>
            <w:shd w:fill="D9EAF7"/>
            <w:tcMar>
              <w:top w:val="120"/>
              <w:left w:val="160"/>
              <w:bottom w:val="120"/>
              <w:right w:val="160"/>
            </w:tcMar>
          </w:tcPr>
          <w:p>
            <w:r>
              <w:rPr>
                <w:b/>
              </w:rPr>
              <w:t xml:space="preserve">Vinkki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Valitse rajapinnat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Väylä, DigiRoad, MML, Liiteri, Syke, Karttapaikka tai OpenStreetMap.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Aloita yhdellä lähteellä, jos etsit tiettyä tasoa.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Suodata tasoja kirjoittamalla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Hakusana, jolla pitkä tasolista suodatetaan.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Kirjoita esimerkiksi tie, silta, rautatie tai rakennus.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Valitse ladattavat aineistot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Yksi tai useampi taso.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Useampi taso voidaan ajaa samalla rajauksella.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Aluerajauksen taso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Koko Suomi, elinvoimakeskus, hyvinvointialue, maakunta, kunta/kaupunki tai oma aineisto.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Pienempi rajaus on nopeampi ja kevyempi.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Tallennuskohde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Geodatabase tai kansio.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GDB on suositeltu, jos tasoissa on paljon kenttiä tai pitkiä nimiä.</w:t>
            </w:r>
          </w:p>
        </w:tc>
      </w:tr>
    </w:tbl>
    <w:p>
      <w:pPr>
        <w:pStyle w:val="Heading1"/>
      </w:pPr>
      <w:r>
        <w:t xml:space="preserve">Taustakartat: MML ja Kapsi</w:t>
      </w:r>
    </w:p>
    <w:p>
      <w:pPr>
        <w:pStyle w:val="Bullet"/>
      </w:pPr>
      <w:r>
        <w:t xml:space="preserve">• Valitse Taustakartat (MML/Kapsi), kun haluat karttapohjan nykyiseen ArcGIS Pro -projektiin.</w:t>
      </w:r>
    </w:p>
    <w:p>
      <w:pPr>
        <w:pStyle w:val="Bullet"/>
      </w:pPr>
      <w:r>
        <w:t xml:space="preserve">• Live WMTS sopii taustakartaksi ilman rasterin lataamista levylle.</w:t>
      </w:r>
    </w:p>
    <w:p>
      <w:pPr>
        <w:pStyle w:val="Bullet"/>
      </w:pPr>
      <w:r>
        <w:t xml:space="preserve">• Raster (GeoTIFF EPSG:3067) sopii, kun tarvitset rajatun, tallennetun karttakuvan. MML-rasteri vaatii MML API-avaimen.</w:t>
      </w:r>
    </w:p>
    <w:p>
      <w:pPr>
        <w:pStyle w:val="Heading1"/>
      </w:pPr>
      <w:r>
        <w:t xml:space="preserve">Hyvät käytännöt</w:t>
      </w:r>
    </w:p>
    <w:p>
      <w:pPr>
        <w:pStyle w:val="Bullet"/>
      </w:pPr>
      <w:r>
        <w:t xml:space="preserve">• Rajaa alue mahdollisimman pieneksi, kun lataat raskaita tasoja.</w:t>
      </w:r>
    </w:p>
    <w:p>
      <w:pPr>
        <w:pStyle w:val="Bullet"/>
      </w:pPr>
      <w:r>
        <w:t xml:space="preserve">• Tallenna tulokset geodatabaseen, jos aineisto on suuri tai sisältää monimutkaisia kenttiä.</w:t>
      </w:r>
    </w:p>
    <w:p>
      <w:pPr>
        <w:pStyle w:val="Bullet"/>
      </w:pPr>
      <w:r>
        <w:t xml:space="preserve">• Jos tasolistat latautuvat hitaasti, odota hetki. Työkalu hakee rajapintojen capabilities-tietoja verkosta.</w:t>
      </w:r>
    </w:p>
    <w:p>
      <w:pPr>
        <w:pStyle w:val="Bullet"/>
      </w:pPr>
      <w:r>
        <w:t xml:space="preserve">• Jos ulkoinen rajapinta ei vastaa, kokeile uudelleen myöhemmin tai valitse pienempi rajaus.</w:t>
      </w:r>
    </w:p>
    <w:p>
      <w:pPr>
        <w:pStyle w:val="Heading1"/>
      </w:pPr>
      <w:r>
        <w:t xml:space="preserve">Automaattinen ajansäästön logitus</w:t>
      </w:r>
    </w:p>
    <w:p>
      <w:pPr>
        <w:pStyle w:val="BodyText"/>
      </w:pPr>
      <w:r>
        <w:t xml:space="preserve">Työkalu lähettää raportointimerkinnän aina, kun Suomenväylät.fi-painikkeella avataan lataustyökalu. Kirjaus tehdään taustalla. Käyttäjä ei joudu odottamaan loggeria, eikä työkalun käyttö keskeydy, jos Key Vault, Azure Function, verkkoyhteys tai tietokantayhteys epäonnistuu.</w:t>
      </w:r>
    </w:p>
    <w:tbl>
      <w:tblPr>
        <w:tblStyle w:val="TableGrid"/>
        <w:tblW w:w="0" w:type="auto"/>
        <w:tblLook w:val="04A0"/>
      </w:tblPr>
      <w:tr>
        <w:tc>
          <w:tcPr>
            <w:shd w:fill="D9EAF7"/>
            <w:tcMar>
              <w:top w:val="120"/>
              <w:left w:val="160"/>
              <w:bottom w:val="120"/>
              <w:right w:val="160"/>
            </w:tcMar>
          </w:tcPr>
          <w:p>
            <w:r>
              <w:rPr>
                <w:b/>
              </w:rPr>
              <w:t xml:space="preserve">Raporttiin menevä tieto</w:t>
            </w:r>
          </w:p>
        </w:tc>
        <w:tc>
          <w:tcPr>
            <w:shd w:fill="D9EAF7"/>
            <w:tcMar>
              <w:top w:val="120"/>
              <w:left w:val="160"/>
              <w:bottom w:val="120"/>
              <w:right w:val="160"/>
            </w:tcMar>
          </w:tcPr>
          <w:p>
            <w:r>
              <w:rPr>
                <w:b/>
              </w:rPr>
              <w:t xml:space="preserve">Selitys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ToolName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Suomenväylät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SoftwareName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Grasshopper, nykyisen logger-toteutuksen mukaisesti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Status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Opening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Käyttäjä- ja konetiedot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Haetaan Windows-ympäristöstä ja rekisteristä, jos saatavilla</w:t>
            </w:r>
          </w:p>
        </w:tc>
      </w:tr>
    </w:tbl>
    <w:p>
      <w:pPr>
        <w:pStyle w:val="Heading1"/>
      </w:pPr>
      <w:r>
        <w:t xml:space="preserve">Vianhaku</w:t>
      </w:r>
    </w:p>
    <w:tbl>
      <w:tblPr>
        <w:tblStyle w:val="TableGrid"/>
        <w:tblW w:w="0" w:type="auto"/>
        <w:tblLook w:val="04A0"/>
      </w:tblPr>
      <w:tr>
        <w:tc>
          <w:tcPr>
            <w:shd w:fill="D9EAF7"/>
            <w:tcMar>
              <w:top w:val="120"/>
              <w:left w:val="160"/>
              <w:bottom w:val="120"/>
              <w:right w:val="160"/>
            </w:tcMar>
          </w:tcPr>
          <w:p>
            <w:r>
              <w:rPr>
                <w:b/>
              </w:rPr>
              <w:t xml:space="preserve">Tilanne</w:t>
            </w:r>
          </w:p>
        </w:tc>
        <w:tc>
          <w:tcPr>
            <w:shd w:fill="D9EAF7"/>
            <w:tcMar>
              <w:top w:val="120"/>
              <w:left w:val="160"/>
              <w:bottom w:val="120"/>
              <w:right w:val="160"/>
            </w:tcMar>
          </w:tcPr>
          <w:p>
            <w:r>
              <w:rPr>
                <w:b/>
              </w:rPr>
              <w:t xml:space="preserve">Mitä teen?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Työkalu ei avaudu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Tarkista, että lisäosa on asennettu ja Toolboxes/VaylaWFSDownloader.pyt löytyy add-inin asennuskansiosta.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Valitse alue on tyhjä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Valitse ensin aluerajauksen taso. Osa listoista täyttyy vasta valinnan jälkeen.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MML rasteri herjaa API-avaimesta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Syötä MML API-avain. Live WMTS ei yleensä vaadi samaa rasterilatauksen avainta.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Aineisto ei palaudu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Kokeile pienempää rajausta tai toista rajapintaa. Ulkoiset WFS/WMS-palvelut voivat olla hitaita.</w:t>
            </w:r>
          </w:p>
        </w:tc>
      </w:tr>
      <w:tr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Logger ei saa yhteyttä</w:t>
            </w:r>
          </w:p>
        </w:tc>
        <w:tc>
          <w:tcPr>
            <w:shd w:fill="FFFFFF"/>
            <w:tcMar>
              <w:top w:val="120"/>
              <w:left w:val="160"/>
              <w:bottom w:val="120"/>
              <w:right w:val="160"/>
            </w:tcMar>
          </w:tcPr>
          <w:p>
            <w:r>
              <w:rPr/>
              <w:t xml:space="preserve">Mitään ei tarvitse tehdä käytön aikana. Työkalu jatkaa normaalisti; virhe näkyy vain debug-lokissa.</w:t>
            </w:r>
          </w:p>
        </w:tc>
      </w:tr>
    </w:tbl>
    <w:p>
      <w:pPr>
        <w:pStyle w:val="Heading1"/>
      </w:pPr>
      <w:r>
        <w:t xml:space="preserve">Muistilista käyttäjälle</w:t>
      </w:r>
    </w:p>
    <w:p>
      <w:pPr>
        <w:pStyle w:val="Bullet"/>
      </w:pPr>
      <w:r>
        <w:t xml:space="preserve">• 1. Avaa Suomenväylät.fi ArcGIS Pron Add-in-välilehdeltä.</w:t>
      </w:r>
    </w:p>
    <w:p>
      <w:pPr>
        <w:pStyle w:val="Bullet"/>
      </w:pPr>
      <w:r>
        <w:t xml:space="preserve">• 2. Valitse aineistolähde ja tasot.</w:t>
      </w:r>
    </w:p>
    <w:p>
      <w:pPr>
        <w:pStyle w:val="Bullet"/>
      </w:pPr>
      <w:r>
        <w:t xml:space="preserve">• 3. Valitse rajaus ja tallennuskohde.</w:t>
      </w:r>
    </w:p>
    <w:p>
      <w:pPr>
        <w:pStyle w:val="Bullet"/>
      </w:pPr>
      <w:r>
        <w:t xml:space="preserve">• 4. Paina Run ja tarkista kartalle lisätyt tulokset.</w:t>
      </w:r>
    </w:p>
    <w:sectPr>
      <w:pgSz w:w="11906" w:h="16838"/>
      <w:pgMar w:top="1000" w:right="900" w:bottom="1000" w:left="90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BodyText">
    <w:name w:val="Body Text"/>
    <w:qFormat/>
    <w:pPr>
      <w:spacing w:after="160" w:line="276" w:lineRule="auto"/>
    </w:pPr>
    <w:rPr>
      <w:rFonts w:ascii="Aptos" w:hAnsi="Aptos"/>
      <w:sz w:val="22"/>
      <w:color w:val="1F2937"/>
    </w:rPr>
  </w:style>
  <w:style w:type="paragraph" w:styleId="Title">
    <w:name w:val="Title"/>
    <w:qFormat/>
    <w:pPr>
      <w:spacing w:after="120"/>
    </w:pPr>
    <w:rPr>
      <w:rFonts w:ascii="Aptos Display" w:hAnsi="Aptos Display"/>
      <w:b/>
      <w:sz w:val="56"/>
      <w:color w:val="0B5394"/>
    </w:rPr>
  </w:style>
  <w:style w:type="paragraph" w:styleId="Subtitle">
    <w:name w:val="Subtitle"/>
    <w:qFormat/>
    <w:pPr>
      <w:spacing w:after="280"/>
    </w:pPr>
    <w:rPr>
      <w:rFonts w:ascii="Aptos" w:hAnsi="Aptos"/>
      <w:sz w:val="28"/>
      <w:color w:val="256D85"/>
    </w:rPr>
  </w:style>
  <w:style w:type="paragraph" w:styleId="Heading1">
    <w:name w:val="heading 1"/>
    <w:basedOn w:val="BodyText"/>
    <w:next w:val="BodyText"/>
    <w:qFormat/>
    <w:pPr>
      <w:spacing w:before="360" w:after="140"/>
      <w:outlineLvl w:val="0"/>
    </w:pPr>
    <w:rPr>
      <w:b/>
      <w:sz w:val="34"/>
      <w:color w:val="0B5394"/>
    </w:rPr>
  </w:style>
  <w:style w:type="paragraph" w:styleId="Muted">
    <w:name w:val="Muted"/>
    <w:basedOn w:val="BodyText"/>
    <w:pPr>
      <w:spacing w:after="260"/>
    </w:pPr>
    <w:rPr>
      <w:sz w:val="19"/>
      <w:color w:val="6B7280"/>
    </w:rPr>
  </w:style>
  <w:style w:type="paragraph" w:styleId="Callout">
    <w:name w:val="Callout"/>
    <w:basedOn w:val="BodyText"/>
    <w:pPr>
      <w:spacing w:before="120" w:after="260"/>
      <w:shd w:fill="EAF4F8"/>
      <w:pBdr>
        <w:left w:val="single" w:sz="18" w:space="8" w:color="0B5394"/>
      </w:pBdr>
    </w:pPr>
    <w:rPr>
      <w:color w:val="12343B"/>
    </w:rPr>
  </w:style>
  <w:style w:type="paragraph" w:styleId="StepTitle">
    <w:name w:val="Step Title"/>
    <w:basedOn w:val="BodyText"/>
    <w:pPr>
      <w:spacing w:before="180" w:after="80"/>
    </w:pPr>
    <w:rPr>
      <w:b/>
      <w:sz w:val="25"/>
      <w:color w:val="0B5394"/>
    </w:rPr>
  </w:style>
  <w:style w:type="paragraph" w:styleId="Bullet">
    <w:name w:val="Bullet"/>
    <w:basedOn w:val="BodyText"/>
    <w:pPr>
      <w:ind w:left="360" w:hanging="180"/>
      <w:spacing w:after="100"/>
    </w:pPr>
    <w:rPr>
      <w:sz w:val="22"/>
      <w:color w:val="1F2937"/>
    </w:rPr>
  </w:style>
  <w:style w:type="table" w:styleId="TableGrid">
    <w:name w:val="Table Grid"/>
    <w:tblPr>
      <w:tblBorders>
        <w:top w:val="single" w:sz="4" w:color="B7D7E8"/>
        <w:left w:val="single" w:sz="4" w:color="B7D7E8"/>
        <w:bottom w:val="single" w:sz="4" w:color="B7D7E8"/>
        <w:right w:val="single" w:sz="4" w:color="B7D7E8"/>
        <w:insideH w:val="single" w:sz="4" w:color="D8EAF2"/>
        <w:insideV w:val="single" w:sz="4" w:color="D8EAF2"/>
      </w:tblBorders>
    </w:tblPr>
  </w:style>
</w:styles>
</file>

<file path=word/_rels/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

</file>