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CBS cijfers:</w:t>
      </w:r>
    </w:p>
    <w:p w:rsidR="00000000" w:rsidDel="00000000" w:rsidP="00000000" w:rsidRDefault="00000000" w:rsidRPr="00000000" w14:paraId="00000001">
      <w:pPr>
        <w:contextualSpacing w:val="0"/>
        <w:rPr/>
      </w:pPr>
      <w:hyperlink r:id="rId6">
        <w:r w:rsidDel="00000000" w:rsidR="00000000" w:rsidRPr="00000000">
          <w:rPr>
            <w:color w:val="1155cc"/>
            <w:u w:val="single"/>
            <w:rtl w:val="0"/>
          </w:rPr>
          <w:t xml:space="preserve">http://statline.cbs.nl/Statweb/selection/?VW=T&amp;DM=SLNL&amp;PA=83021NED&amp;D1=0-16&amp;D2=0-2,5-13,37-41&amp;D3=0&amp;D4=l&amp;HDR=G2,G3,T&amp;STB=G1</w:t>
        </w:r>
      </w:hyperlink>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Het gebruik van cannabis, cocaïne, ecstasy, amfetamine, paddo’s, GHB, LSD en heroïne werd geïnventariseerd in een representatieve aselecte steekproef van de bevolking van 15 tot en met 64 jaar. Aan het onderzoek namen 5.867 mensen in deze leeftijdsgroep deel. De vragenlijst werd via internet of een persoonlijk interview afgenomen. </w:t>
      </w:r>
    </w:p>
    <w:p w:rsidR="00000000" w:rsidDel="00000000" w:rsidP="00000000" w:rsidRDefault="00000000" w:rsidRPr="00000000" w14:paraId="00000004">
      <w:pPr>
        <w:contextualSpacing w:val="0"/>
        <w:rPr/>
      </w:pPr>
      <w:r w:rsidDel="00000000" w:rsidR="00000000" w:rsidRPr="00000000">
        <w:rPr>
          <w:rtl w:val="0"/>
        </w:rPr>
        <w:t xml:space="preserve">Subgroepen worden beschreven op basis van geslacht, leeftijd, opleiding en stedelijkheid (van de woongemeente). </w:t>
      </w:r>
    </w:p>
    <w:p w:rsidR="00000000" w:rsidDel="00000000" w:rsidP="00000000" w:rsidRDefault="00000000" w:rsidRPr="00000000" w14:paraId="00000005">
      <w:pPr>
        <w:contextualSpacing w:val="0"/>
        <w:rPr/>
      </w:pPr>
      <w:r w:rsidDel="00000000" w:rsidR="00000000" w:rsidRPr="00000000">
        <w:rPr>
          <w:rtl w:val="0"/>
        </w:rPr>
        <w:t xml:space="preserve">Kernpunten:</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Een kwart (24,3%) van de Nederlandse bevolking (15-64 jaar) heeft ooit wel eens cannabis gebruikt, en een op de twintig deed dit in de maand voor het interview (4,6% ‘actueel gebruik’). Cannabis is daarmee veruit de meest gebruikte illegale drug.</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Ruim 1 procent van de bevolking, ofwel 28% van de actuele gebruikers, blowt dagelijks.</w:t>
      </w:r>
    </w:p>
    <w:p w:rsidR="00000000" w:rsidDel="00000000" w:rsidP="00000000" w:rsidRDefault="00000000" w:rsidRPr="00000000" w14:paraId="00000009">
      <w:pPr>
        <w:numPr>
          <w:ilvl w:val="0"/>
          <w:numId w:val="1"/>
        </w:numPr>
        <w:ind w:left="720" w:hanging="360"/>
        <w:contextualSpacing w:val="1"/>
        <w:rPr>
          <w:b w:val="1"/>
        </w:rPr>
      </w:pPr>
      <w:r w:rsidDel="00000000" w:rsidR="00000000" w:rsidRPr="00000000">
        <w:rPr>
          <w:b w:val="1"/>
          <w:rtl w:val="0"/>
        </w:rPr>
        <w:t xml:space="preserve">Van de andere drugs, ligt het percentage ooitgebruikers het hoogst voor ecstasy (7,6%). </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Actueel gebruik van ecstasy, amfetamine en cocaïne ligt onder 1%. </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Drugsgebruik komt vaker voor onder mannen dan vrouwen. Actueel gebruik ligt 2 (ecstasy) tot 3,4 (cocaïne) keer hoger onder mannen dan vrouwen. </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Drugsgebruik is het hoogst onder twintigers. Vergeleken met harddrugs (cocaïne, ecstasy of amfetamine) komt cannabisgebruik relatief vaak voor onder 15-19 jarigen.</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Recent en actueel gebruik van cocaïne, ecstasy en amfetamine komt vaker voor onder hoog opgeleiden dan onder middelbaar of laag opgeleiden. Voor cannabis zijn opleidingsverschillen voor het ooitgebruik groot (twee keer hoger onder hoog opgeleiden), maar is er geen verschil in actueel gebruik. </w:t>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Mensen uit grote steden gebruiken anderhalf tot tweeënhalf keer vaker drugs dan mensen uit minder (niet) stedelijke gebieden. </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Vergeleken met een schatting van het gemiddelde in de EU-28, ligt het recent drugsgebruik in de Nederlandse bevolking vrij hoog; voor ecstasy en amfetamine zelfs het hoogst van de EU-landen. Verschillen in peiljaar, meetmethode en steekproeven bemoeilijken echter een directe vergelijking.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tline.cbs.nl/Statweb/selection/?VW=T&amp;DM=SLNL&amp;PA=83021NED&amp;D1=0-16&amp;D2=0-2,5-13,37-41&amp;D3=0&amp;D4=l&amp;HDR=G2,G3,T&amp;STB=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