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 Comparison: Traditional RCC vs. Graphene-Enhanced Concrete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report provides a practical, engineer-level comparison between traditional Reinforced Cement Concrete (RCC) and Graphene-based systems (e.g., Graphacrete, Monoatom).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Baseline RCC Cost (Including Additives)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Estimated Ready-Mix/Site-Mix costs in India for the 2025–2026 period.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Base RCC Cost (₹/m³)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Additive Mix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Additive Cost (₹/m³)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RCC Cost (₹/m³)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₹4,500 – ₹5,200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Plasticizer + Fly 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₹150 – ₹300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₹4,700 – ₹5,500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₹5,000 – ₹5,800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Superplasticizer + Fly 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₹250 – ₹450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₹5,300 – ₹6,200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₹5,800 – ₹6,800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High-range SP + GGBS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₹400 – ₹800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₹6,200 – ₹7,600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₹6,800 – ₹7,800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 + Silica Fume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₹700 – ₹1,200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₹7,500 – ₹9,000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₹7,800 – ₹9,000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Premium SP + SF + Fibers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₹1,000 – ₹2,000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₹8,800 – ₹11,000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Graphene / Graphacrete Market Reality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Graphene admixtures are nano-engineered solutions that significantly alter the hydration matrix of cement.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Performance Indicators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Dosage: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0.05% – 0.5% of cement weight.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Strength Gain: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 to 50% increase in compressive strength.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Cement Reduction: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Potential to reduce cement content by 20% – 30%.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 to 25% faster curing times.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 Market Estimates (India Bulk Usage)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Graphene Admixture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Cost Impact (₹/m³)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Low-cost graphene admixture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₹300 – ₹800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Mid-range graphene mix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₹800 – ₹1,500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High-end nano-graphene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₹1,500 – ₹3,000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Financial Case Studies: Normal vs. Graphene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1: Same Strength (Cost Optimization)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Goal: Use Graphene to reduce cement while maintaining Grade.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M30 (Normal):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₹6,500/m³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M30 (Graphene):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₹6,200 – ₹6,800/m³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5% – 20% potential cost saving through cement reduction.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2: Higher Strength (Performance Optimization)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Goal: Maintain cement levels to reach higher performance.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 M30: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₹6,500/m³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Graphene M30 (Behaves like M40):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₹7,200 – ₹8,500/m³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Higher initial cost but achieves significantly higher strength and durability.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3: Premium High-Performance Concrete (HPC)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Conventional M50: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₹10,000 – ₹12,000/m³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Graphene HPC: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₹9,500 – ₹11,500/m³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Often cost-neutral or cheaper per unit of strength.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Performance vs. Cost Summary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Normal RCC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Graphene Concrete (Graphacrete)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 Baseline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+20% to +50%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Cement Usage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70% – 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Crack Resistance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Durability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 – 50 Years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– 100 Years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Initial Cost/m³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±0% to +15%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Life-cycle 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Engineering Conclusion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 Low-Cost Construction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 Fly Ash + GGBS + Superplasticizer.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₹200 – ₹800 / m³ (additive impact).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 Premium / Infrastructure / Future-Proofing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Graphene / Graphacrete.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Strategic ROI: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Reduced structural weight (smaller columns), less steel reinforcement, and a significantly lower carbon footprint.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Reality Check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Graphene market is emerging; prices vary based on project scale. ROI is highest when structural redesign is performed to account for the increased strength (e.g., using less concrete and steel overall).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