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EC4899"/>
          <w:sz w:val="30"/>
          <w:szCs w:val="30"/>
        </w:rPr>
        <w:t xml:space="preserve">SCHOOL FOR ALL</w:t>
      </w:r>
    </w:p>
    <w:p>
      <w:pPr>
        <w:spacing w:after="600" w:before="100"/>
        <w:jc w:val="center"/>
      </w:pPr>
      <w:r>
        <w:rPr>
          <w:i/>
          <w:iCs/>
          <w:color w:val="6B7280"/>
          <w:sz w:val="22"/>
          <w:szCs w:val="22"/>
        </w:rPr>
        <w:t xml:space="preserve">Site web institutionnel et plateforme éducative</w:t>
      </w:r>
    </w:p>
    <w:p>
      <w:pPr>
        <w:spacing w:after="200" w:before="400"/>
        <w:jc w:val="center"/>
      </w:pPr>
      <w:r>
        <w:rPr>
          <w:b/>
          <w:bCs/>
          <w:color w:val="1F2937"/>
          <w:sz w:val="52"/>
          <w:szCs w:val="52"/>
        </w:rPr>
        <w:t xml:space="preserve">CAHIER DE DÉVELOPPEMENT</w:t>
      </w:r>
    </w:p>
    <w:p>
      <w:pPr>
        <w:spacing w:after="800"/>
        <w:jc w:val="center"/>
      </w:pPr>
      <w:r>
        <w:rPr>
          <w:color w:val="1F2937"/>
          <w:sz w:val="24"/>
          <w:szCs w:val="24"/>
        </w:rPr>
        <w:t xml:space="preserve">Document de référence technique : conventions de nommage,
variables et dictionnaire de données, structure du projet</w:t>
      </w:r>
    </w:p>
    <w:p>
      <w:pPr>
        <w:spacing w:before="1400"/>
        <w:jc w:val="center"/>
      </w:pPr>
      <w:r>
        <w:rPr>
          <w:color w:val="6B7280"/>
          <w:sz w:val="20"/>
          <w:szCs w:val="20"/>
        </w:rPr>
        <w:t xml:space="preserve">JavaScript · PHP · Bootstrap 5 · MySQL</w:t>
      </w:r>
    </w:p>
    <w:p>
      <w:pPr>
        <w:spacing w:before="1200"/>
        <w:jc w:val="center"/>
      </w:pPr>
      <w:r>
        <w:rPr>
          <w:color w:val="6B7280"/>
          <w:sz w:val="20"/>
          <w:szCs w:val="20"/>
        </w:rPr>
        <w:t xml:space="preserve">Version 1.0 — Août 2026</w:t>
      </w:r>
    </w:p>
    <w:p>
      <w:r>
        <w:br w:type="page"/>
      </w:r>
    </w:p>
    <w:p>
      <w:pPr>
        <w:spacing w:after="300"/>
      </w:pPr>
      <w:r>
        <w:rPr>
          <w:b/>
          <w:bCs/>
          <w:color w:val="83184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1. OBJET DU DOCUMENT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Ce cahier de développement est un document de référence technique destiné à l'équipe de développement du site SCHOOL FOR ALL. Il complète le cahier des charges fonctionnel en précisant : la stack technique retenue, la structure des dossiers du projet, les conventions de nommage à respecter, ainsi que le dictionnaire des variables et des tables de la base de données.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Objectif : garantir un code cohérent, lisible et maintenable, quel que soit le développeur qui intervient sur le projet.</w:t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2. STACK TECHNIQUE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0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Structure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HTML5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Structure sémantique des pages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Mise en forme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CSS3 + Bootstrap 5.3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Grille responsive, composants UI, thème rose personnalisé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Interactivité client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JavaScript ES6+ (vanilla, éventuellement jQuery si besoin ponctuel)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Interactions, appels AJAX/fetch, lecture de fichiers Excel/CSV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Traitement serveur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PHP 8.x (orienté objet, structure MVC)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Logique métier, accès base de données, génération HTML dynamique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MySQL / MariaDB (accès via PDO)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Stockage des données (élèves, articles, épreuves, événements…)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 WhatsApp Business ou lien click-to-chat (wa.me)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Envoi de la fiche d'inscription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3. STRUCTURE DES DOSSIERS DU PROJET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Le projet suit une architecture inspirée du pattern MVC (Modèle – Vue – Contrôleur), avec une séparation claire entre le site public et le tableau de bord administrateur.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schoolforall/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├── config/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└── config.php            → constantes de configuration (BDD, WhatsApp, chemins)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├── public/                   → racine accessible depuis le navigateur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├── index.php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├── assets/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├── css/              → styles.css, variables Bootstrap surchargées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├── js/               → main.js, inscription.js, blog.js, import-eleves.js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├── img/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└── uploads/          → photos, PDF d'épreuves, corrigés, images d'événements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└── admin/                → tableau de bord (accès protégé)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├── app/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├── controllers/          → HomeController.php, InscriptionController.php,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                        BlogController.php, EpreuveController.php,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                        EleveController.php, EvenementController.php...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├── models/               → Eleve.php, Article.php, Commentaire.php, Epreuve.php,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│                           Temoignage.php, Evenement.php, Administrateur.php...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│   └── views/                → gabarits HTML/PHP (public/ et admin/)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├── core/                     → Router.php, Database.php (connexion PDO), Auth.php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└── vendor/                   → dépendances éventuelles (PHPMailer, etc.)</w:t>
      </w:r>
    </w:p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4. CONVENTIONS DE NOMMAGE GÉNÉRALES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4.1 Fichiers et dossiers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Dossiers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minuscules, tiret si besoin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assets/, uploads/, admin/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Fichiers PHP (contrôleurs/modèles)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InscriptionController.php, Eleve.php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Fichiers PHP (vues)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fiche-inscription.php, liste-eleves.php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Fichiers JavaScript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import-eleves.js, blog-interactions.js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Fichiers CSS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styles.css, admin-dashboard.css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Images / uploads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 + horodatage si upload utilisateur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photo-eleve-20260901-0143.jpg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4.2 Base de données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Tables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snake_case, pluriel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eleves, articles_blog, evenements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Champs (colonnes)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date_naissance, numero_parent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Clé primaire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Clé étrangère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nom_table_singulier_id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eleve_id, article_id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Booléens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préfixe est_ / a_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est_publie, a_difficulte_scolaire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Dates de suivi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cree_le, modifie_le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cree_le DATETIME, modifie_le DATETIME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4.3 PHP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 InscriptionController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Méthodes / fonctions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camelCase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getEleveById(), enregistrerInscription()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Variables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camelCase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$nombreEleves, $dateInscription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Constantes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SNAKE_CASE majuscule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define('DB_HOST', 'localhost')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Variables de configuration globales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SNAKE_CASE majuscule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WHATSAPP_NUMBER, UPLOAD_MAX_SIZE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4.4 JavaScript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Variables / paramètres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camelCase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let formulaireInscription, const listeEleves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Fonctions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camelCase, verbe d'action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envoyerFormulaire(), chargerArticles()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Constantes globales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SNAKE_CASE majuscule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 API_URL = '/api'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Classes JS (si utilisées)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 GestionnaireImport { ... }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Attributs data-* (HTML)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data-eleve-id, data-article-id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4.5 CSS / Bootstrap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Classes personnalisées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préfixe sfa- (School For All) + kebab-case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sfa-hero, sfa-card-methode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Variables CSS</w:t>
            </w:r>
          </w:p>
        </w:tc>
        <w:tc>
          <w:tcPr>
            <w:tcW w:type="dxa" w:w="33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kebab-case avec préfixe --sfa-</w:t>
            </w:r>
          </w:p>
        </w:tc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--sfa-pink: #EC4899;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IDs (usage JS uniquement)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camelCase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id="formInscription"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5. VARIABLES DE CONFIGURATION (config/config.php)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Toutes les valeurs sensibles ou susceptibles de changer selon l'environnement (développement / production) sont centralisées dans un unique fichier de configuration.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// Base de données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define('DB_HOST', 'localhost');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define('DB_NAME', 'schoolforall');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define('DB_USER', 'root');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define('DB_PASS', '');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define('DB_CHARSET', 'utf8mb4');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// Site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define('SITE_URL', 'https://schoolforall.cm');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define('SITE_NAME', 'SCHOOL FOR ALL');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// WhatsApp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define('WHATSAPP_NUMBER', '237612345678');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// Uploads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define('UPLOAD_PATH', __DIR__ . '/../public/assets/uploads/');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define('UPLOAD_MAX_SIZE', 5 * 1024 * 1024); // 5 Mo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define('ALLOWED_EXTENSIONS', ['jpg', 'jpeg', 'png', 'pdf', 'docx']);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// Sécurité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define('SESSION_NAME', 'sfa_admin_session');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define('PASSWORD_ALGO', PASSWORD_BCRYPT);</w:t>
      </w:r>
    </w:p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6. DICTIONNAIRE DE DONNÉES (BASE MYSQL)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Liste des principales tables et de leurs champs (variables) telles qu'utilisées dans le code PHP et les requêtes SQL.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6.1 Table administrateurs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 (PK, AI)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nom_complet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Nom de l'administrateur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Identifiant de connexion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mot_de_passe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Mot de passe haché (bcrypt)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ENUM('super_admin','gestionnaire')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Niveau de droits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cree_le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45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 de création du compte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6.2 Table eleves (inscriptions)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 (PK, AI)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photo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Chemin de la photo 4x4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nom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Nom de l'élève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prenom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Prénom de l'élève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date_naissance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 de naissance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lieu_naissance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Lieu de naissance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nationalite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Nationalité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numero_telephone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Numéro de l'élève ou du tuteur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etablissement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Établissement d'origine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Classe (6ème → Terminale)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serie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Série (facultatif selon niveau)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annee_scolaire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Ex. : 2026-2027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statut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ENUM('nouveau','ancien')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Statut de l'élève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adresse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Adresse de résidence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date_debut_cours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 de début souhaitée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contact_urgence_nom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Personne à contacter en urgence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contact_urgence_numero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Numéro de cette personne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contact_urgence_adresse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Adresse de cette personne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moyen_decouverte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Comment l'élève a connu SCHOOL FOR ALL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a_difficulte_scolaire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 = non, 1 = oui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details_difficulte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Précisions si difficulté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projet_carriere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Projet de carrière de l'élève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reglement_accepte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Acceptation du règlement intérieur</w:t>
            </w:r>
          </w:p>
        </w:tc>
      </w:tr>
      <w:tr>
        <w:tc>
          <w:tcPr>
            <w:tcW w:type="dxa" w:w="32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cree_le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 d'enregistrement de la fiche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6.3 Tables articles_blog / commentaires / likes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Champs principaux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articles_blog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titre, contenu (TEXT), image, administrateur_id, est_publie, cree_le, modifie_le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commentaires</w:t>
            </w:r>
          </w:p>
        </w:tc>
        <w:tc>
          <w:tcPr>
            <w:tcW w:type="dxa" w:w="6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article_id, nom_auteur, contenu, est_valide, cree_le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likes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article_id, identifiant_visiteur (cookie/IP), cree_le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6.4 Table epreuves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0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 (PK, AI)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type_examen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ENUM('BEPC','Probatoire','Baccalaureat','ETNS')</w:t>
            </w:r>
          </w:p>
        </w:tc>
        <w:tc>
          <w:tcPr>
            <w:tcW w:type="dxa" w:w="4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 d'examen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matiere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Matière concernée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annee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YEAR</w:t>
            </w:r>
          </w:p>
        </w:tc>
        <w:tc>
          <w:tcPr>
            <w:tcW w:type="dxa" w:w="4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Année de l'épreuve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fichier_sujet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Chemin du fichier sujet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fichier_corrige</w:t>
            </w:r>
          </w:p>
        </w:tc>
        <w:tc>
          <w:tcPr>
            <w:tcW w:type="dxa" w:w="2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0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Chemin du fichier corrigé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cree_le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Date de mise en ligne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6.5 Autres tables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Champs principaux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temoignages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nom_auteur, statut (ex. Bachelier 2026), contenu, photo, cree_le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resultats</w:t>
            </w:r>
          </w:p>
        </w:tc>
        <w:tc>
          <w:tcPr>
            <w:tcW w:type="dxa" w:w="6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type_examen, annee, taux_reussite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planning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niveau, jour_semaine, heure_debut, heure_fin, lieu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tarifs</w:t>
            </w:r>
          </w:p>
        </w:tc>
        <w:tc>
          <w:tcPr>
            <w:tcW w:type="dxa" w:w="6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niveau, montant, periodicite (mensuel/trimestriel), conditions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evenements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titre, description, date_evenement, lieu, image_couverture, cree_le</w:t>
            </w:r>
          </w:p>
        </w:tc>
      </w:tr>
      <w:tr>
        <w:tc>
          <w:tcPr>
            <w:tcW w:type="dxa" w:w="2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evenement_images</w:t>
            </w:r>
          </w:p>
        </w:tc>
        <w:tc>
          <w:tcPr>
            <w:tcW w:type="dxa" w:w="6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evenement_id, chemin_image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enseignants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id, nom_complet, photo, matiere, qualifications, parcours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7. CONVENTIONS DE CODE — PHP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7.1 Connexion à la base de données (PDO)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class Database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private static ?PDO $connexion = null;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public static function getConnexion(): PDO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if (self::$connexion === null)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    $dsn = 'mysql:host=' . DB_HOST . ';dbname=' . DB_NAME . ';charset=' . DB_CHARSET;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    self::$connexion = new PDO($dsn, DB_USER, DB_PASS, [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        PDO::ATTR_ERRMODE =&gt; PDO::ERRMODE_EXCEPTION,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    ]);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return self::$connexion;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}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7.2 Requêtes préparées (sécurité)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$stmt = Database::getConnexion()-&gt;prepare(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'INSERT INTO eleves (nom, prenom, classe, numero_telephone) VALUES (?, ?, ?, ?)'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$stmt-&gt;execute([$nom, $prenom, $classe, $numeroTelephone]);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Toute variable provenant d'un formulaire (POST/GET) doit systématiquement passer par une requête préparée avant d'atteindre la base de données ; aucune concaténation directe de variable dans une requête SQL n'est autorisée.</w:t>
      </w:r>
    </w:p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8. CONVENTIONS DE CODE — JAVASCRIPT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8.1 Envoi du formulaire d'inscription (fetch + WhatsApp)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const formulaireInscription = document.getElementById('formInscription');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formulaireInscription.addEventListener('submit', async function (evenement)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evenement.preventDefault();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const donneesFormulaire = new FormData(formulaireInscription);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const reponse = await fetch('/inscription/enregistrer',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method: 'POST',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body: donneesFormulaire,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});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const resultat = await reponse.json();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if (resultat.succes)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const messageWhatsapp = encodeURIComponent(resultat.recapitulatif);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window.open(`https://wa.me/${resultat.numeroWhatsapp}?text=${messageWhatsapp}`, '_blank');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});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8.2 Import de la liste des élèves (lecture Excel/CSV côté client)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const champFichier = document.getElementById('fichierImportEleves');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champFichier.addEventListener('change', function (evenement)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const fichier = evenement.target.files[0];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const lecteur = new FileReader();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lecteur.onload = function (e)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const classeur = XLSX.read(e.target.result, { type: 'binary' });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const premiereFeuille = classeur.Sheets[classeur.SheetNames[0]];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const listeEleves = XLSX.utils.sheet_to_json(premiereFeuille);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    afficherApercuImport(listeEleves);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};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  lecteur.readAsBinaryString(fichier);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});</w:t>
      </w:r>
    </w:p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9. CONVENTIONS — BOOTSTRAP 5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9.1 Personnalisation des couleurs (variables Bootstrap)</w:t>
      </w:r>
    </w:p>
    <w:p>
      <w:pPr>
        <w:pBdr>
          <w:top w:val="single" w:color="1F2937" w:sz="4" w:space="4"/>
          <w:bottom w:val="single" w:color="1F2937" w:sz="4" w:space="4"/>
          <w:left w:val="single" w:color="1F2937" w:sz="4" w:space="8"/>
          <w:right w:val="single" w:color="1F2937" w:sz="4" w:space="8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F9FAFB"/>
          <w:sz w:val="18"/>
          <w:szCs w:val="18"/>
        </w:rPr>
        <w:t xml:space="preserve">:root {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--sfa-pink: #EC4899;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--sfa-pink-dark: #831843;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--sfa-pink-light: #FCE7F3;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--sfa-dark: #1F2937;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--bs-primary: var(--sfa-pink);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  --bs-primary-rgb: 236, 72, 153;</w:t>
      </w:r>
      <w:r>
        <w:rPr>
          <w:rFonts w:ascii="Consolas" w:cs="Consolas" w:eastAsia="Consolas" w:hAnsi="Consolas"/>
          <w:color w:val="F9FAFB"/>
          <w:sz w:val="18"/>
          <w:szCs w:val="18"/>
        </w:rPr>
        <w:br/>
        <w:t xml:space="preserve">}</w:t>
      </w:r>
    </w:p>
    <w:p>
      <w:pPr>
        <w:pStyle w:val="Heading2"/>
        <w:spacing w:after="120" w:before="300"/>
      </w:pPr>
      <w:r>
        <w:rPr>
          <w:b/>
          <w:bCs/>
          <w:color w:val="EC4899"/>
        </w:rPr>
        <w:t xml:space="preserve">9.2 Composants Bootstrap principaux utilisés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Composant Bootstrap 5</w:t>
            </w:r>
          </w:p>
        </w:tc>
        <w:tc>
          <w:tcPr>
            <w:tcW w:type="dxa" w:w="5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 sur le site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Grid system (container, row, col-*)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Mise en page responsive de toutes les pages</w:t>
            </w:r>
          </w:p>
        </w:tc>
      </w:tr>
      <w:tr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Navbar (navbar, navbar-expand-lg)</w:t>
            </w:r>
          </w:p>
        </w:tc>
        <w:tc>
          <w:tcPr>
            <w:tcW w:type="dxa" w:w="5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Menu de navigation principal avec bouton « S'inscrire »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Card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Cartes « Pourquoi nous choisir », enseignants, événements, épreuves</w:t>
            </w:r>
          </w:p>
        </w:tc>
      </w:tr>
      <w:tr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Carousel</w:t>
            </w:r>
          </w:p>
        </w:tc>
        <w:tc>
          <w:tcPr>
            <w:tcW w:type="dxa" w:w="5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Carrousel des témoignages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Modal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Aperçu d'un article de blog, confirmation d'inscription</w:t>
            </w:r>
          </w:p>
        </w:tc>
      </w:tr>
      <w:tr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Accordion</w:t>
            </w:r>
          </w:p>
        </w:tc>
        <w:tc>
          <w:tcPr>
            <w:tcW w:type="dxa" w:w="5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FAQ, détails du règlement intérieur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Form controls + validation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Formulaire d'inscription, formulaires du dashboard</w:t>
            </w:r>
          </w:p>
        </w:tc>
      </w:tr>
      <w:tr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Toast / Alert</w:t>
            </w:r>
          </w:p>
        </w:tc>
        <w:tc>
          <w:tcPr>
            <w:tcW w:type="dxa" w:w="5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Messages de confirmation ou d'erreur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Table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Listes d'élèves, épreuves, résultats dans le dashboard</w:t>
            </w:r>
          </w:p>
        </w:tc>
      </w:tr>
      <w:tr>
        <w:tc>
          <w:tcPr>
            <w:tcW w:type="dxa" w:w="36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Offcanvas</w:t>
            </w:r>
          </w:p>
        </w:tc>
        <w:tc>
          <w:tcPr>
            <w:tcW w:type="dxa" w:w="59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Menu latéral du dashboard administrateur (mobile)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EC4899"/>
        </w:rPr>
        <w:t xml:space="preserve">9.3 Points de rupture (breakpoints) responsives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Largeur</w:t>
            </w:r>
          </w:p>
        </w:tc>
        <w:tc>
          <w:tcPr>
            <w:tcW w:type="dxa" w:w="4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sm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576px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Grands smartphones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md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768px</w:t>
            </w:r>
          </w:p>
        </w:tc>
        <w:tc>
          <w:tcPr>
            <w:tcW w:type="dxa" w:w="47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Tablettes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lg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992px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Petits écrans d'ordinateur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xl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≥ 1200px</w:t>
            </w:r>
          </w:p>
        </w:tc>
        <w:tc>
          <w:tcPr>
            <w:tcW w:type="dxa" w:w="4700"/>
            <w:shd w:fill="F9FA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Écrans standards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4899" w:sz="12" w:space="4"/>
        </w:pBdr>
        <w:spacing w:after="200" w:before="400"/>
      </w:pPr>
      <w:r>
        <w:rPr>
          <w:b/>
          <w:bCs/>
          <w:color w:val="831843"/>
        </w:rPr>
        <w:t xml:space="preserve">10. BONNES PRATIQUES GÉNÉRALES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Indentation : 4 espaces (PHP, JS) — pas de tabulations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Chaque fonction/méthode commence par un court commentaire décrivant son rôle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Les noms de variables et de fonctions sont écrits en français, de manière explicite (éviter les abréviations ambiguës)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Toute saisie utilisateur est validée côté client (JS) ET côté serveur (PHP)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Les fichiers téléversés (photos, PDF) sont systématiquement contrôlés en type et en taille avant enregistrement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Aucune information sensible (mot de passe, clé API) n'est codée en dur dans les fichiers versionnés : elle passe par config.php (exclu du dépôt public ou chargé via variables d'environnement)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Les requêtes SQL utilisent exclusivement des requêtes préparées (PDO)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Le code est versionné avec Git ; chaque fonctionnalité fait l'objet d'une branche dédiée (ex. : feature/import-eleves)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— Fin du cahier de développement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2026-08-29T21:56:49.928Z</dcterms:created>
  <dcterms:modified xsi:type="dcterms:W3CDTF">2026-08-29T21:56:49.941Z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