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EC4899"/>
          <w:sz w:val="30"/>
          <w:szCs w:val="30"/>
        </w:rPr>
        <w:t xml:space="preserve">SCHOOL FOR ALL</w:t>
      </w:r>
    </w:p>
    <w:p>
      <w:pPr>
        <w:spacing w:after="600" w:before="100"/>
        <w:jc w:val="center"/>
      </w:pPr>
      <w:r>
        <w:rPr>
          <w:i/>
          <w:iCs/>
          <w:color w:val="6B7280"/>
          <w:sz w:val="22"/>
          <w:szCs w:val="22"/>
        </w:rPr>
        <w:t xml:space="preserve">Groupe d'études et de répétition — Ebolowa, Cameroun</w:t>
      </w:r>
    </w:p>
    <w:p>
      <w:pPr>
        <w:spacing w:after="200" w:before="400"/>
        <w:jc w:val="center"/>
      </w:pPr>
      <w:r>
        <w:rPr>
          <w:b/>
          <w:bCs/>
          <w:color w:val="1F2937"/>
          <w:sz w:val="56"/>
          <w:szCs w:val="56"/>
        </w:rPr>
        <w:t xml:space="preserve">CAHIER DES CHARGES</w:t>
      </w:r>
    </w:p>
    <w:p>
      <w:pPr>
        <w:spacing w:after="800"/>
        <w:jc w:val="center"/>
      </w:pPr>
      <w:r>
        <w:rPr>
          <w:color w:val="1F2937"/>
          <w:sz w:val="26"/>
          <w:szCs w:val="26"/>
        </w:rPr>
        <w:t xml:space="preserve">Conception et développement du site web institutionnel
et de la plateforme d'information éducative</w:t>
      </w:r>
    </w:p>
    <w:p>
      <w:pPr>
        <w:spacing w:before="1600"/>
        <w:jc w:val="center"/>
      </w:pPr>
      <w:r>
        <w:rPr>
          <w:color w:val="6B7280"/>
          <w:sz w:val="20"/>
          <w:szCs w:val="20"/>
        </w:rPr>
        <w:t xml:space="preserve">Technologies : HTML5 · CSS3 (Bootstrap 5) · JavaScript · PHP · MySQL</w:t>
      </w:r>
    </w:p>
    <w:p>
      <w:pPr>
        <w:spacing w:before="1200"/>
        <w:jc w:val="center"/>
      </w:pPr>
      <w:r>
        <w:rPr>
          <w:color w:val="6B7280"/>
          <w:sz w:val="20"/>
          <w:szCs w:val="20"/>
        </w:rPr>
        <w:t xml:space="preserve">Version 1.0</w:t>
      </w:r>
    </w:p>
    <w:p>
      <w:pPr>
        <w:spacing w:before="80"/>
        <w:jc w:val="center"/>
      </w:pPr>
      <w:r>
        <w:rPr>
          <w:color w:val="6B7280"/>
          <w:sz w:val="20"/>
          <w:szCs w:val="20"/>
        </w:rPr>
        <w:t xml:space="preserve">Août 2026</w:t>
      </w:r>
    </w:p>
    <w:p>
      <w:r>
        <w:br w:type="page"/>
      </w:r>
    </w:p>
    <w:p>
      <w:pPr>
        <w:spacing w:after="300"/>
      </w:pPr>
      <w:r>
        <w:rPr>
          <w:b/>
          <w:bCs/>
          <w:color w:val="831843"/>
          <w:sz w:val="32"/>
          <w:szCs w:val="32"/>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EC4899" w:sz="12" w:space="4"/>
        </w:pBdr>
        <w:spacing w:after="200" w:before="400"/>
      </w:pPr>
      <w:r>
        <w:rPr>
          <w:b/>
          <w:bCs/>
          <w:color w:val="831843"/>
        </w:rPr>
        <w:t xml:space="preserve">1. PRÉSENTATION DU PROJET</w:t>
      </w:r>
    </w:p>
    <w:p>
      <w:pPr>
        <w:pStyle w:val="Heading2"/>
        <w:spacing w:after="120" w:before="300"/>
      </w:pPr>
      <w:r>
        <w:rPr>
          <w:b/>
          <w:bCs/>
          <w:color w:val="EC4899"/>
        </w:rPr>
        <w:t xml:space="preserve">1.1 Identification du projet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2937" w:val="clear"/>
            <w:tcMar>
              <w:top w:type="dxa" w:w="80"/>
              <w:left w:type="dxa" w:w="100"/>
              <w:bottom w:type="dxa" w:w="80"/>
              <w:right w:type="dxa" w:w="100"/>
            </w:tcMar>
            <w:vAlign w:val="center"/>
          </w:tcPr>
          <w:p>
            <w:pPr>
              <w:jc w:val="center"/>
            </w:pPr>
            <w:r>
              <w:rPr>
                <w:b/>
                <w:bCs/>
                <w:color w:val="FFFFFF"/>
                <w:sz w:val="20"/>
                <w:szCs w:val="20"/>
              </w:rPr>
              <w:t xml:space="preserve">Champ</w:t>
            </w:r>
          </w:p>
        </w:tc>
        <w:tc>
          <w:tcPr>
            <w:tcW w:type="dxa" w:w="6900"/>
            <w:shd w:fill="1F2937" w:val="clear"/>
            <w:tcMar>
              <w:top w:type="dxa" w:w="80"/>
              <w:left w:type="dxa" w:w="100"/>
              <w:bottom w:type="dxa" w:w="80"/>
              <w:right w:type="dxa" w:w="100"/>
            </w:tcMar>
            <w:vAlign w:val="center"/>
          </w:tcPr>
          <w:p>
            <w:pPr>
              <w:jc w:val="center"/>
            </w:pPr>
            <w:r>
              <w:rPr>
                <w:b/>
                <w:bCs/>
                <w:color w:val="FFFFFF"/>
                <w:sz w:val="20"/>
                <w:szCs w:val="20"/>
              </w:rPr>
              <w:t xml:space="preserve">Détail</w:t>
            </w:r>
          </w:p>
        </w:tc>
      </w:tr>
      <w:tr>
        <w:tc>
          <w:tcPr>
            <w:tcW w:type="dxa" w:w="26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Nom du projet</w:t>
            </w:r>
          </w:p>
        </w:tc>
        <w:tc>
          <w:tcPr>
            <w:tcW w:type="dxa" w:w="69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SCHOOL FOR ALL</w:t>
            </w:r>
          </w:p>
        </w:tc>
      </w:tr>
      <w:tr>
        <w:tc>
          <w:tcPr>
            <w:tcW w:type="dxa" w:w="2600"/>
            <w:shd w:fill="F9FAFB" w:val="clear"/>
            <w:tcMar>
              <w:top w:type="dxa" w:w="80"/>
              <w:left w:type="dxa" w:w="100"/>
              <w:bottom w:type="dxa" w:w="80"/>
              <w:right w:type="dxa" w:w="100"/>
            </w:tcMar>
            <w:vAlign w:val="center"/>
          </w:tcPr>
          <w:p>
            <w:pPr>
              <w:jc w:val="left"/>
            </w:pPr>
            <w:r>
              <w:rPr>
                <w:b w:val="false"/>
                <w:bCs w:val="false"/>
                <w:color w:val="1F2937"/>
                <w:sz w:val="20"/>
                <w:szCs w:val="20"/>
              </w:rPr>
              <w:t xml:space="preserve">Type de projet</w:t>
            </w:r>
          </w:p>
        </w:tc>
        <w:tc>
          <w:tcPr>
            <w:tcW w:type="dxa" w:w="6900"/>
            <w:shd w:fill="F9FAFB" w:val="clear"/>
            <w:tcMar>
              <w:top w:type="dxa" w:w="80"/>
              <w:left w:type="dxa" w:w="100"/>
              <w:bottom w:type="dxa" w:w="80"/>
              <w:right w:type="dxa" w:w="100"/>
            </w:tcMar>
            <w:vAlign w:val="center"/>
          </w:tcPr>
          <w:p>
            <w:pPr>
              <w:jc w:val="left"/>
            </w:pPr>
            <w:r>
              <w:rPr>
                <w:b w:val="false"/>
                <w:bCs w:val="false"/>
                <w:color w:val="1F2937"/>
                <w:sz w:val="20"/>
                <w:szCs w:val="20"/>
              </w:rPr>
              <w:t xml:space="preserve">Site web institutionnel et plateforme d'information éducative</w:t>
            </w:r>
          </w:p>
        </w:tc>
      </w:tr>
      <w:tr>
        <w:tc>
          <w:tcPr>
            <w:tcW w:type="dxa" w:w="26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Domaine</w:t>
            </w:r>
          </w:p>
        </w:tc>
        <w:tc>
          <w:tcPr>
            <w:tcW w:type="dxa" w:w="69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Éducation / Soutien scolaire / Répétition</w:t>
            </w:r>
          </w:p>
        </w:tc>
      </w:tr>
      <w:tr>
        <w:tc>
          <w:tcPr>
            <w:tcW w:type="dxa" w:w="2600"/>
            <w:shd w:fill="F9FAFB" w:val="clear"/>
            <w:tcMar>
              <w:top w:type="dxa" w:w="80"/>
              <w:left w:type="dxa" w:w="100"/>
              <w:bottom w:type="dxa" w:w="80"/>
              <w:right w:type="dxa" w:w="100"/>
            </w:tcMar>
            <w:vAlign w:val="center"/>
          </w:tcPr>
          <w:p>
            <w:pPr>
              <w:jc w:val="left"/>
            </w:pPr>
            <w:r>
              <w:rPr>
                <w:b w:val="false"/>
                <w:bCs w:val="false"/>
                <w:color w:val="1F2937"/>
                <w:sz w:val="20"/>
                <w:szCs w:val="20"/>
              </w:rPr>
              <w:t xml:space="preserve">Cible géographique</w:t>
            </w:r>
          </w:p>
        </w:tc>
        <w:tc>
          <w:tcPr>
            <w:tcW w:type="dxa" w:w="6900"/>
            <w:shd w:fill="F9FAFB" w:val="clear"/>
            <w:tcMar>
              <w:top w:type="dxa" w:w="80"/>
              <w:left w:type="dxa" w:w="100"/>
              <w:bottom w:type="dxa" w:w="80"/>
              <w:right w:type="dxa" w:w="100"/>
            </w:tcMar>
            <w:vAlign w:val="center"/>
          </w:tcPr>
          <w:p>
            <w:pPr>
              <w:jc w:val="left"/>
            </w:pPr>
            <w:r>
              <w:rPr>
                <w:b w:val="false"/>
                <w:bCs w:val="false"/>
                <w:color w:val="1F2937"/>
                <w:sz w:val="20"/>
                <w:szCs w:val="20"/>
              </w:rPr>
              <w:t xml:space="preserve">Ebolowa, région du Sud, Cameroun</w:t>
            </w:r>
          </w:p>
        </w:tc>
      </w:tr>
      <w:tr>
        <w:tc>
          <w:tcPr>
            <w:tcW w:type="dxa" w:w="26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Public cible</w:t>
            </w:r>
          </w:p>
        </w:tc>
        <w:tc>
          <w:tcPr>
            <w:tcW w:type="dxa" w:w="69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Élèves (6ème à Terminale), parents et tuteurs, enseignants, candidats aux examens, étudiants, jeunes en recherche d'orientation</w:t>
            </w:r>
          </w:p>
        </w:tc>
      </w:tr>
      <w:tr>
        <w:tc>
          <w:tcPr>
            <w:tcW w:type="dxa" w:w="2600"/>
            <w:shd w:fill="F9FAFB" w:val="clear"/>
            <w:tcMar>
              <w:top w:type="dxa" w:w="80"/>
              <w:left w:type="dxa" w:w="100"/>
              <w:bottom w:type="dxa" w:w="80"/>
              <w:right w:type="dxa" w:w="100"/>
            </w:tcMar>
            <w:vAlign w:val="center"/>
          </w:tcPr>
          <w:p>
            <w:pPr>
              <w:jc w:val="left"/>
            </w:pPr>
            <w:r>
              <w:rPr>
                <w:b w:val="false"/>
                <w:bCs w:val="false"/>
                <w:color w:val="1F2937"/>
                <w:sz w:val="20"/>
                <w:szCs w:val="20"/>
              </w:rPr>
              <w:t xml:space="preserve">Technologies retenues</w:t>
            </w:r>
          </w:p>
        </w:tc>
        <w:tc>
          <w:tcPr>
            <w:tcW w:type="dxa" w:w="6900"/>
            <w:shd w:fill="F9FAFB" w:val="clear"/>
            <w:tcMar>
              <w:top w:type="dxa" w:w="80"/>
              <w:left w:type="dxa" w:w="100"/>
              <w:bottom w:type="dxa" w:w="80"/>
              <w:right w:type="dxa" w:w="100"/>
            </w:tcMar>
            <w:vAlign w:val="center"/>
          </w:tcPr>
          <w:p>
            <w:pPr>
              <w:jc w:val="left"/>
            </w:pPr>
            <w:r>
              <w:rPr>
                <w:b w:val="false"/>
                <w:bCs w:val="false"/>
                <w:color w:val="1F2937"/>
                <w:sz w:val="20"/>
                <w:szCs w:val="20"/>
              </w:rPr>
              <w:t xml:space="preserve">HTML5, CSS3 / Bootstrap 5, JavaScript, PHP, MySQL</w:t>
            </w:r>
          </w:p>
        </w:tc>
      </w:tr>
    </w:tbl>
    <w:p>
      <w:pPr>
        <w:spacing w:after="200"/>
      </w:pPr>
    </w:p>
    <w:p>
      <w:pPr>
        <w:pStyle w:val="Heading2"/>
        <w:spacing w:after="120" w:before="300"/>
      </w:pPr>
      <w:r>
        <w:rPr>
          <w:b/>
          <w:bCs/>
          <w:color w:val="EC4899"/>
        </w:rPr>
        <w:t xml:space="preserve">1.2 Contexte du projet</w:t>
      </w:r>
    </w:p>
    <w:p>
      <w:pPr>
        <w:spacing w:after="160" w:line="300"/>
      </w:pPr>
      <w:r>
        <w:rPr>
          <w:color w:val="1F2937"/>
          <w:sz w:val="21"/>
          <w:szCs w:val="21"/>
        </w:rPr>
        <w:t xml:space="preserve">SCHOOL FOR ALL est un groupe d'études et de répétition destiné à accompagner les élèves dans leur parcours scolaire, de la 6ème à la Terminale. Le site web aura pour objectif de présenter l'offre pédagogique de SCHOOL FOR ALL, de mettre en avant sa méthode d'accompagnement, ses enseignants et ses résultats, tout en facilitant l'inscription des élèves et l'accès à différentes ressources éducatives.</w:t>
      </w:r>
    </w:p>
    <w:p>
      <w:pPr>
        <w:spacing w:after="160" w:line="300"/>
      </w:pPr>
      <w:r>
        <w:rPr>
          <w:color w:val="1F2937"/>
          <w:sz w:val="21"/>
          <w:szCs w:val="21"/>
        </w:rPr>
        <w:t xml:space="preserve">Le site devra être conçu pour évoluer progressivement d'un simple site vitrine vers une véritable plateforme éducative, avec un espace d'administration permettant à l'équipe SCHOOL FOR ALL de gérer elle-même le contenu au quotidien (actualités, épreuves, témoignages, événements, listes d'élèves).</w:t>
      </w:r>
    </w:p>
    <w:p>
      <w:pPr>
        <w:pStyle w:val="Heading2"/>
        <w:spacing w:after="120" w:before="300"/>
      </w:pPr>
      <w:r>
        <w:rPr>
          <w:b/>
          <w:bCs/>
          <w:color w:val="EC4899"/>
        </w:rPr>
        <w:t xml:space="preserve">1.3 Positionnement du site</w:t>
      </w:r>
    </w:p>
    <w:p>
      <w:pPr>
        <w:spacing w:after="160" w:line="300"/>
      </w:pPr>
      <w:r>
        <w:rPr>
          <w:color w:val="1F2937"/>
          <w:sz w:val="21"/>
          <w:szCs w:val="21"/>
        </w:rPr>
        <w:t xml:space="preserve">Le site ne doit pas être présenté comme un simple site de répétition scolaire. L'idée centrale du positionnement est la suivante : SCHOOL FOR ALL accompagne l'élève, mesure son niveau, identifie ses difficultés, adapte son apprentissage et suit sa progression.</w:t>
      </w:r>
    </w:p>
    <w:p>
      <w:pPr>
        <w:spacing w:after="160" w:line="300"/>
      </w:pPr>
      <w:r>
        <w:rPr>
          <w:color w:val="1F2937"/>
          <w:sz w:val="21"/>
          <w:szCs w:val="21"/>
        </w:rPr>
        <w:t xml:space="preserve">La méthode SCHFL (Diagnostic → Cours ciblés → Exercices et travaux pratiques → Contrôles réguliers → Suivi de la progression → Bilan pédagogique) devra donc être l'un des éléments différenciateurs majeurs mis en avant sur le site, comme illustré dans la maquette fournie (voir Annexe 1).</w:t>
      </w:r>
    </w:p>
    <w:p>
      <w:r>
        <w:br w:type="page"/>
      </w:r>
    </w:p>
    <w:p>
      <w:pPr>
        <w:pStyle w:val="Heading1"/>
        <w:pBdr>
          <w:bottom w:val="single" w:color="EC4899" w:sz="12" w:space="4"/>
        </w:pBdr>
        <w:spacing w:after="200" w:before="400"/>
      </w:pPr>
      <w:r>
        <w:rPr>
          <w:b/>
          <w:bCs/>
          <w:color w:val="831843"/>
        </w:rPr>
        <w:t xml:space="preserve">2. OBJECTIFS DU PROJET</w:t>
      </w:r>
    </w:p>
    <w:p>
      <w:pPr>
        <w:pStyle w:val="Heading2"/>
        <w:spacing w:after="120" w:before="300"/>
      </w:pPr>
      <w:r>
        <w:rPr>
          <w:b/>
          <w:bCs/>
          <w:color w:val="EC4899"/>
        </w:rPr>
        <w:t xml:space="preserve">2.1 Objectif principal</w:t>
      </w:r>
    </w:p>
    <w:p>
      <w:pPr>
        <w:spacing w:after="160" w:line="300"/>
      </w:pPr>
      <w:r>
        <w:rPr>
          <w:color w:val="1F2937"/>
          <w:sz w:val="21"/>
          <w:szCs w:val="21"/>
        </w:rPr>
        <w:t xml:space="preserve">Créer une plateforme web moderne, professionnelle et facile à administrer, permettant à SCHOOL FOR ALL de :</w:t>
      </w:r>
    </w:p>
    <w:p>
      <w:pPr>
        <w:pStyle w:val="ListParagraph"/>
        <w:numPr>
          <w:ilvl w:val="0"/>
          <w:numId w:val="2"/>
        </w:numPr>
        <w:spacing w:after="80" w:line="280"/>
      </w:pPr>
      <w:r>
        <w:rPr>
          <w:color w:val="1F2937"/>
          <w:sz w:val="21"/>
          <w:szCs w:val="21"/>
        </w:rPr>
        <w:t xml:space="preserve">Présenter son activité et son offre pédagogique</w:t>
      </w:r>
    </w:p>
    <w:p>
      <w:pPr>
        <w:pStyle w:val="ListParagraph"/>
        <w:numPr>
          <w:ilvl w:val="0"/>
          <w:numId w:val="2"/>
        </w:numPr>
        <w:spacing w:after="80" w:line="280"/>
      </w:pPr>
      <w:r>
        <w:rPr>
          <w:color w:val="1F2937"/>
          <w:sz w:val="21"/>
          <w:szCs w:val="21"/>
        </w:rPr>
        <w:t xml:space="preserve">Attirer de nouveaux élèves</w:t>
      </w:r>
    </w:p>
    <w:p>
      <w:pPr>
        <w:pStyle w:val="ListParagraph"/>
        <w:numPr>
          <w:ilvl w:val="0"/>
          <w:numId w:val="2"/>
        </w:numPr>
        <w:spacing w:after="80" w:line="280"/>
      </w:pPr>
      <w:r>
        <w:rPr>
          <w:color w:val="1F2937"/>
          <w:sz w:val="21"/>
          <w:szCs w:val="21"/>
        </w:rPr>
        <w:t xml:space="preserve">Rassurer les parents sur le sérieux de l'accompagnement</w:t>
      </w:r>
    </w:p>
    <w:p>
      <w:pPr>
        <w:pStyle w:val="ListParagraph"/>
        <w:numPr>
          <w:ilvl w:val="0"/>
          <w:numId w:val="2"/>
        </w:numPr>
        <w:spacing w:after="80" w:line="280"/>
      </w:pPr>
      <w:r>
        <w:rPr>
          <w:color w:val="1F2937"/>
          <w:sz w:val="21"/>
          <w:szCs w:val="21"/>
        </w:rPr>
        <w:t xml:space="preserve">Présenter ses enseignants et leurs qualifications</w:t>
      </w:r>
    </w:p>
    <w:p>
      <w:pPr>
        <w:pStyle w:val="ListParagraph"/>
        <w:numPr>
          <w:ilvl w:val="0"/>
          <w:numId w:val="2"/>
        </w:numPr>
        <w:spacing w:after="80" w:line="280"/>
      </w:pPr>
      <w:r>
        <w:rPr>
          <w:color w:val="1F2937"/>
          <w:sz w:val="21"/>
          <w:szCs w:val="21"/>
        </w:rPr>
        <w:t xml:space="preserve">Présenter ses résultats aux examens officiels</w:t>
      </w:r>
    </w:p>
    <w:p>
      <w:pPr>
        <w:pStyle w:val="ListParagraph"/>
        <w:numPr>
          <w:ilvl w:val="0"/>
          <w:numId w:val="2"/>
        </w:numPr>
        <w:spacing w:after="80" w:line="280"/>
      </w:pPr>
      <w:r>
        <w:rPr>
          <w:color w:val="1F2937"/>
          <w:sz w:val="21"/>
          <w:szCs w:val="21"/>
        </w:rPr>
        <w:t xml:space="preserve">Publier ses activités et événements</w:t>
      </w:r>
    </w:p>
    <w:p>
      <w:pPr>
        <w:pStyle w:val="ListParagraph"/>
        <w:numPr>
          <w:ilvl w:val="0"/>
          <w:numId w:val="2"/>
        </w:numPr>
        <w:spacing w:after="80" w:line="280"/>
      </w:pPr>
      <w:r>
        <w:rPr>
          <w:color w:val="1F2937"/>
          <w:sz w:val="21"/>
          <w:szCs w:val="21"/>
        </w:rPr>
        <w:t xml:space="preserve">Faciliter les inscriptions en ligne</w:t>
      </w:r>
    </w:p>
    <w:p>
      <w:pPr>
        <w:pStyle w:val="ListParagraph"/>
        <w:numPr>
          <w:ilvl w:val="0"/>
          <w:numId w:val="2"/>
        </w:numPr>
        <w:spacing w:after="80" w:line="280"/>
      </w:pPr>
      <w:r>
        <w:rPr>
          <w:color w:val="1F2937"/>
          <w:sz w:val="21"/>
          <w:szCs w:val="21"/>
        </w:rPr>
        <w:t xml:space="preserve">Informer sur les tarifs et plannings de cours</w:t>
      </w:r>
    </w:p>
    <w:p>
      <w:pPr>
        <w:pStyle w:val="ListParagraph"/>
        <w:numPr>
          <w:ilvl w:val="0"/>
          <w:numId w:val="2"/>
        </w:numPr>
        <w:spacing w:after="80" w:line="280"/>
      </w:pPr>
      <w:r>
        <w:rPr>
          <w:color w:val="1F2937"/>
          <w:sz w:val="21"/>
          <w:szCs w:val="21"/>
        </w:rPr>
        <w:t xml:space="preserve">Mettre à disposition des sujets d'examens et leurs corrigés</w:t>
      </w:r>
    </w:p>
    <w:p>
      <w:pPr>
        <w:pStyle w:val="ListParagraph"/>
        <w:numPr>
          <w:ilvl w:val="0"/>
          <w:numId w:val="2"/>
        </w:numPr>
        <w:spacing w:after="80" w:line="280"/>
      </w:pPr>
      <w:r>
        <w:rPr>
          <w:color w:val="1F2937"/>
          <w:sz w:val="21"/>
          <w:szCs w:val="21"/>
        </w:rPr>
        <w:t xml:space="preserve">Accompagner les élèves dans leur orientation scolaire et professionnelle</w:t>
      </w:r>
    </w:p>
    <w:p>
      <w:pPr>
        <w:pStyle w:val="Heading2"/>
        <w:spacing w:after="120" w:before="300"/>
      </w:pPr>
      <w:r>
        <w:rPr>
          <w:b/>
          <w:bCs/>
          <w:color w:val="EC4899"/>
        </w:rPr>
        <w:t xml:space="preserve">2.2 Objectifs secondaires</w:t>
      </w:r>
    </w:p>
    <w:p>
      <w:pPr>
        <w:pStyle w:val="ListParagraph"/>
        <w:numPr>
          <w:ilvl w:val="0"/>
          <w:numId w:val="2"/>
        </w:numPr>
        <w:spacing w:after="80" w:line="280"/>
      </w:pPr>
      <w:r>
        <w:rPr>
          <w:color w:val="1F2937"/>
          <w:sz w:val="21"/>
          <w:szCs w:val="21"/>
        </w:rPr>
        <w:t xml:space="preserve">Renforcer la visibilité de SCHOOL FOR ALL sur le web et les réseaux sociaux</w:t>
      </w:r>
    </w:p>
    <w:p>
      <w:pPr>
        <w:pStyle w:val="ListParagraph"/>
        <w:numPr>
          <w:ilvl w:val="0"/>
          <w:numId w:val="2"/>
        </w:numPr>
        <w:spacing w:after="80" w:line="280"/>
      </w:pPr>
      <w:r>
        <w:rPr>
          <w:color w:val="1F2937"/>
          <w:sz w:val="21"/>
          <w:szCs w:val="21"/>
        </w:rPr>
        <w:t xml:space="preserve">Améliorer son image professionnelle</w:t>
      </w:r>
    </w:p>
    <w:p>
      <w:pPr>
        <w:pStyle w:val="ListParagraph"/>
        <w:numPr>
          <w:ilvl w:val="0"/>
          <w:numId w:val="2"/>
        </w:numPr>
        <w:spacing w:after="80" w:line="280"/>
      </w:pPr>
      <w:r>
        <w:rPr>
          <w:color w:val="1F2937"/>
          <w:sz w:val="21"/>
          <w:szCs w:val="21"/>
        </w:rPr>
        <w:t xml:space="preserve">Centraliser les informations scolaires (résultats, plannings, ressources)</w:t>
      </w:r>
    </w:p>
    <w:p>
      <w:pPr>
        <w:pStyle w:val="ListParagraph"/>
        <w:numPr>
          <w:ilvl w:val="0"/>
          <w:numId w:val="2"/>
        </w:numPr>
        <w:spacing w:after="80" w:line="280"/>
      </w:pPr>
      <w:r>
        <w:rPr>
          <w:color w:val="1F2937"/>
          <w:sz w:val="21"/>
          <w:szCs w:val="21"/>
        </w:rPr>
        <w:t xml:space="preserve">Faciliter la communication avec les parents (WhatsApp, formulaires en ligne)</w:t>
      </w:r>
    </w:p>
    <w:p>
      <w:pPr>
        <w:pStyle w:val="ListParagraph"/>
        <w:numPr>
          <w:ilvl w:val="0"/>
          <w:numId w:val="2"/>
        </w:numPr>
        <w:spacing w:after="80" w:line="280"/>
      </w:pPr>
      <w:r>
        <w:rPr>
          <w:color w:val="1F2937"/>
          <w:sz w:val="21"/>
          <w:szCs w:val="21"/>
        </w:rPr>
        <w:t xml:space="preserve">Valoriser les performances et témoignages des élèves</w:t>
      </w:r>
    </w:p>
    <w:p>
      <w:pPr>
        <w:pStyle w:val="ListParagraph"/>
        <w:numPr>
          <w:ilvl w:val="0"/>
          <w:numId w:val="2"/>
        </w:numPr>
        <w:spacing w:after="80" w:line="280"/>
      </w:pPr>
      <w:r>
        <w:rPr>
          <w:color w:val="1F2937"/>
          <w:sz w:val="21"/>
          <w:szCs w:val="21"/>
        </w:rPr>
        <w:t xml:space="preserve">Développer une communauté active autour de SCHOOL FOR ALL (interactions type réseau social sur le blog)</w:t>
      </w:r>
    </w:p>
    <w:p>
      <w:r>
        <w:br w:type="page"/>
      </w:r>
    </w:p>
    <w:p>
      <w:pPr>
        <w:pStyle w:val="Heading1"/>
        <w:pBdr>
          <w:bottom w:val="single" w:color="EC4899" w:sz="12" w:space="4"/>
        </w:pBdr>
        <w:spacing w:after="200" w:before="400"/>
      </w:pPr>
      <w:r>
        <w:rPr>
          <w:b/>
          <w:bCs/>
          <w:color w:val="831843"/>
        </w:rPr>
        <w:t xml:space="preserve">3. PUBLICS CIBLES ET USAGES</w:t>
      </w:r>
    </w:p>
    <w:p>
      <w:pPr>
        <w:spacing w:after="160" w:line="300"/>
      </w:pPr>
      <w:r>
        <w:rPr>
          <w:color w:val="1F2937"/>
          <w:sz w:val="21"/>
          <w:szCs w:val="21"/>
        </w:rPr>
        <w:t xml:space="preserve">Le site doit répondre aux besoins de quatre grandes catégories d'utilisateurs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2937" w:val="clear"/>
            <w:tcMar>
              <w:top w:type="dxa" w:w="80"/>
              <w:left w:type="dxa" w:w="100"/>
              <w:bottom w:type="dxa" w:w="80"/>
              <w:right w:type="dxa" w:w="100"/>
            </w:tcMar>
            <w:vAlign w:val="center"/>
          </w:tcPr>
          <w:p>
            <w:pPr>
              <w:jc w:val="center"/>
            </w:pPr>
            <w:r>
              <w:rPr>
                <w:b/>
                <w:bCs/>
                <w:color w:val="FFFFFF"/>
                <w:sz w:val="20"/>
                <w:szCs w:val="20"/>
              </w:rPr>
              <w:t xml:space="preserve">Public</w:t>
            </w:r>
          </w:p>
        </w:tc>
        <w:tc>
          <w:tcPr>
            <w:tcW w:type="dxa" w:w="6900"/>
            <w:shd w:fill="1F2937" w:val="clear"/>
            <w:tcMar>
              <w:top w:type="dxa" w:w="80"/>
              <w:left w:type="dxa" w:w="100"/>
              <w:bottom w:type="dxa" w:w="80"/>
              <w:right w:type="dxa" w:w="100"/>
            </w:tcMar>
            <w:vAlign w:val="center"/>
          </w:tcPr>
          <w:p>
            <w:pPr>
              <w:jc w:val="center"/>
            </w:pPr>
            <w:r>
              <w:rPr>
                <w:b/>
                <w:bCs/>
                <w:color w:val="FFFFFF"/>
                <w:sz w:val="20"/>
                <w:szCs w:val="20"/>
              </w:rPr>
              <w:t xml:space="preserve">Fonctionnalités attendues</w:t>
            </w:r>
          </w:p>
        </w:tc>
      </w:tr>
      <w:tr>
        <w:tc>
          <w:tcPr>
            <w:tcW w:type="dxa" w:w="26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Élèves (6ème → Terminale)</w:t>
            </w:r>
          </w:p>
        </w:tc>
        <w:tc>
          <w:tcPr>
            <w:tcW w:type="dxa" w:w="69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Consulter les cours, voir les horaires, consulter les ressources, télécharger des sujets d'examens, consulter les corrigés, découvrir les événements, s'inscrire en ligne</w:t>
            </w:r>
          </w:p>
        </w:tc>
      </w:tr>
      <w:tr>
        <w:tc>
          <w:tcPr>
            <w:tcW w:type="dxa" w:w="2600"/>
            <w:shd w:fill="F9FAFB" w:val="clear"/>
            <w:tcMar>
              <w:top w:type="dxa" w:w="80"/>
              <w:left w:type="dxa" w:w="100"/>
              <w:bottom w:type="dxa" w:w="80"/>
              <w:right w:type="dxa" w:w="100"/>
            </w:tcMar>
            <w:vAlign w:val="center"/>
          </w:tcPr>
          <w:p>
            <w:pPr>
              <w:jc w:val="left"/>
            </w:pPr>
            <w:r>
              <w:rPr>
                <w:b w:val="false"/>
                <w:bCs w:val="false"/>
                <w:color w:val="1F2937"/>
                <w:sz w:val="20"/>
                <w:szCs w:val="20"/>
              </w:rPr>
              <w:t xml:space="preserve">Parents / tuteurs</w:t>
            </w:r>
          </w:p>
        </w:tc>
        <w:tc>
          <w:tcPr>
            <w:tcW w:type="dxa" w:w="6900"/>
            <w:shd w:fill="F9FAFB" w:val="clear"/>
            <w:tcMar>
              <w:top w:type="dxa" w:w="80"/>
              <w:left w:type="dxa" w:w="100"/>
              <w:bottom w:type="dxa" w:w="80"/>
              <w:right w:type="dxa" w:w="100"/>
            </w:tcMar>
            <w:vAlign w:val="center"/>
          </w:tcPr>
          <w:p>
            <w:pPr>
              <w:jc w:val="left"/>
            </w:pPr>
            <w:r>
              <w:rPr>
                <w:b w:val="false"/>
                <w:bCs w:val="false"/>
                <w:color w:val="1F2937"/>
                <w:sz w:val="20"/>
                <w:szCs w:val="20"/>
              </w:rPr>
              <w:t xml:space="preserve">Découvrir SCHOOL FOR ALL, consulter les tarifs, voir le planning, découvrir les enseignants, consulter les résultats, inscrire leur enfant, contacter l'établissement</w:t>
            </w:r>
          </w:p>
        </w:tc>
      </w:tr>
      <w:tr>
        <w:tc>
          <w:tcPr>
            <w:tcW w:type="dxa" w:w="26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Enseignants</w:t>
            </w:r>
          </w:p>
        </w:tc>
        <w:tc>
          <w:tcPr>
            <w:tcW w:type="dxa" w:w="69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Voir leur profil valorisé : parcours, qualifications, matières enseignées</w:t>
            </w:r>
          </w:p>
        </w:tc>
      </w:tr>
      <w:tr>
        <w:tc>
          <w:tcPr>
            <w:tcW w:type="dxa" w:w="2600"/>
            <w:shd w:fill="F9FAFB" w:val="clear"/>
            <w:tcMar>
              <w:top w:type="dxa" w:w="80"/>
              <w:left w:type="dxa" w:w="100"/>
              <w:bottom w:type="dxa" w:w="80"/>
              <w:right w:type="dxa" w:w="100"/>
            </w:tcMar>
            <w:vAlign w:val="center"/>
          </w:tcPr>
          <w:p>
            <w:pPr>
              <w:jc w:val="left"/>
            </w:pPr>
            <w:r>
              <w:rPr>
                <w:b w:val="false"/>
                <w:bCs w:val="false"/>
                <w:color w:val="1F2937"/>
                <w:sz w:val="20"/>
                <w:szCs w:val="20"/>
              </w:rPr>
              <w:t xml:space="preserve">Jeunes / étudiants</w:t>
            </w:r>
          </w:p>
        </w:tc>
        <w:tc>
          <w:tcPr>
            <w:tcW w:type="dxa" w:w="6900"/>
            <w:shd w:fill="F9FAFB" w:val="clear"/>
            <w:tcMar>
              <w:top w:type="dxa" w:w="80"/>
              <w:left w:type="dxa" w:w="100"/>
              <w:bottom w:type="dxa" w:w="80"/>
              <w:right w:type="dxa" w:w="100"/>
            </w:tcMar>
            <w:vAlign w:val="center"/>
          </w:tcPr>
          <w:p>
            <w:pPr>
              <w:jc w:val="left"/>
            </w:pPr>
            <w:r>
              <w:rPr>
                <w:b w:val="false"/>
                <w:bCs w:val="false"/>
                <w:color w:val="1F2937"/>
                <w:sz w:val="20"/>
                <w:szCs w:val="20"/>
              </w:rPr>
              <w:t xml:space="preserve">Consulter les concours, écoles, universités, bourses, stages et opportunités professionnelles</w:t>
            </w:r>
          </w:p>
        </w:tc>
      </w:tr>
    </w:tbl>
    <w:p>
      <w:r>
        <w:br w:type="page"/>
      </w:r>
    </w:p>
    <w:p>
      <w:pPr>
        <w:pStyle w:val="Heading1"/>
        <w:pBdr>
          <w:bottom w:val="single" w:color="EC4899" w:sz="12" w:space="4"/>
        </w:pBdr>
        <w:spacing w:after="200" w:before="400"/>
      </w:pPr>
      <w:r>
        <w:rPr>
          <w:b/>
          <w:bCs/>
          <w:color w:val="831843"/>
        </w:rPr>
        <w:t xml:space="preserve">4. PÉRIMÈTRE FONCTIONNEL DU SITE PUBLIC</w:t>
      </w:r>
    </w:p>
    <w:p>
      <w:pPr>
        <w:spacing w:after="160" w:line="300"/>
      </w:pPr>
      <w:r>
        <w:rPr>
          <w:color w:val="1F2937"/>
          <w:sz w:val="21"/>
          <w:szCs w:val="21"/>
        </w:rPr>
        <w:t xml:space="preserve">Le site public s'organise en onze (11) rubriques principales, conformément à la maquette fournie (voir Annexe 1).</w:t>
      </w:r>
    </w:p>
    <w:p>
      <w:pPr>
        <w:pStyle w:val="Heading2"/>
        <w:spacing w:after="120" w:before="300"/>
      </w:pPr>
      <w:r>
        <w:rPr>
          <w:b/>
          <w:bCs/>
          <w:color w:val="EC4899"/>
        </w:rPr>
        <w:t xml:space="preserve">4.1 Accueil</w:t>
      </w:r>
    </w:p>
    <w:p>
      <w:pPr>
        <w:pStyle w:val="ListParagraph"/>
        <w:numPr>
          <w:ilvl w:val="0"/>
          <w:numId w:val="2"/>
        </w:numPr>
        <w:spacing w:after="80" w:line="280"/>
      </w:pPr>
      <w:r>
        <w:rPr>
          <w:color w:val="1F2937"/>
          <w:sz w:val="21"/>
          <w:szCs w:val="21"/>
        </w:rPr>
        <w:t xml:space="preserve">Bannière (hero) avec message d'accroche et appels à l'action « S'inscrire » / « Découvrir nos cours »</w:t>
      </w:r>
    </w:p>
    <w:p>
      <w:pPr>
        <w:pStyle w:val="ListParagraph"/>
        <w:numPr>
          <w:ilvl w:val="0"/>
          <w:numId w:val="2"/>
        </w:numPr>
        <w:spacing w:after="80" w:line="280"/>
      </w:pPr>
      <w:r>
        <w:rPr>
          <w:color w:val="1F2937"/>
          <w:sz w:val="21"/>
          <w:szCs w:val="21"/>
        </w:rPr>
        <w:t xml:space="preserve">Présentation générale de SCHOOL FOR ALL</w:t>
      </w:r>
    </w:p>
    <w:p>
      <w:pPr>
        <w:pStyle w:val="ListParagraph"/>
        <w:numPr>
          <w:ilvl w:val="0"/>
          <w:numId w:val="2"/>
        </w:numPr>
        <w:spacing w:after="80" w:line="280"/>
      </w:pPr>
      <w:r>
        <w:rPr>
          <w:color w:val="1F2937"/>
          <w:sz w:val="21"/>
          <w:szCs w:val="21"/>
        </w:rPr>
        <w:t xml:space="preserve">Section « Pourquoi nous choisir ? »</w:t>
      </w:r>
    </w:p>
    <w:p>
      <w:pPr>
        <w:pStyle w:val="ListParagraph"/>
        <w:numPr>
          <w:ilvl w:val="0"/>
          <w:numId w:val="2"/>
        </w:numPr>
        <w:spacing w:after="80" w:line="280"/>
      </w:pPr>
      <w:r>
        <w:rPr>
          <w:color w:val="1F2937"/>
          <w:sz w:val="21"/>
          <w:szCs w:val="21"/>
        </w:rPr>
        <w:t xml:space="preserve">Sélecteur de niveaux « De la 6ème à la Terminale »</w:t>
      </w:r>
    </w:p>
    <w:p>
      <w:pPr>
        <w:pStyle w:val="ListParagraph"/>
        <w:numPr>
          <w:ilvl w:val="0"/>
          <w:numId w:val="2"/>
        </w:numPr>
        <w:spacing w:after="80" w:line="280"/>
      </w:pPr>
      <w:r>
        <w:rPr>
          <w:color w:val="1F2937"/>
          <w:sz w:val="21"/>
          <w:szCs w:val="21"/>
        </w:rPr>
        <w:t xml:space="preserve">Chiffres clés / résultats (Baccalauréat, Probatoire, BEPC, ETNS)</w:t>
      </w:r>
    </w:p>
    <w:p>
      <w:pPr>
        <w:pStyle w:val="ListParagraph"/>
        <w:numPr>
          <w:ilvl w:val="0"/>
          <w:numId w:val="2"/>
        </w:numPr>
        <w:spacing w:after="80" w:line="280"/>
      </w:pPr>
      <w:r>
        <w:rPr>
          <w:color w:val="1F2937"/>
          <w:sz w:val="21"/>
          <w:szCs w:val="21"/>
        </w:rPr>
        <w:t xml:space="preserve">Carrousel de témoignages</w:t>
      </w:r>
    </w:p>
    <w:p>
      <w:pPr>
        <w:pStyle w:val="ListParagraph"/>
        <w:numPr>
          <w:ilvl w:val="0"/>
          <w:numId w:val="2"/>
        </w:numPr>
        <w:spacing w:after="80" w:line="280"/>
      </w:pPr>
      <w:r>
        <w:rPr>
          <w:color w:val="1F2937"/>
          <w:sz w:val="21"/>
          <w:szCs w:val="21"/>
        </w:rPr>
        <w:t xml:space="preserve">Aperçu des prochains événements</w:t>
      </w:r>
    </w:p>
    <w:p>
      <w:pPr>
        <w:pStyle w:val="ListParagraph"/>
        <w:numPr>
          <w:ilvl w:val="0"/>
          <w:numId w:val="2"/>
        </w:numPr>
        <w:spacing w:after="80" w:line="280"/>
      </w:pPr>
      <w:r>
        <w:rPr>
          <w:color w:val="1F2937"/>
          <w:sz w:val="21"/>
          <w:szCs w:val="21"/>
        </w:rPr>
        <w:t xml:space="preserve">Bandeau d'appel à l'inscription</w:t>
      </w:r>
    </w:p>
    <w:p>
      <w:pPr>
        <w:pStyle w:val="Heading2"/>
        <w:spacing w:after="120" w:before="300"/>
      </w:pPr>
      <w:r>
        <w:rPr>
          <w:b/>
          <w:bCs/>
          <w:color w:val="EC4899"/>
        </w:rPr>
        <w:t xml:space="preserve">4.2 Nos cours</w:t>
      </w:r>
    </w:p>
    <w:p>
      <w:pPr>
        <w:pStyle w:val="ListParagraph"/>
        <w:numPr>
          <w:ilvl w:val="0"/>
          <w:numId w:val="2"/>
        </w:numPr>
        <w:spacing w:after="80" w:line="280"/>
      </w:pPr>
      <w:r>
        <w:rPr>
          <w:color w:val="1F2937"/>
          <w:sz w:val="21"/>
          <w:szCs w:val="21"/>
        </w:rPr>
        <w:t xml:space="preserve">Cours par niveau : 6ème → Terminale</w:t>
      </w:r>
    </w:p>
    <w:p>
      <w:pPr>
        <w:pStyle w:val="ListParagraph"/>
        <w:numPr>
          <w:ilvl w:val="0"/>
          <w:numId w:val="2"/>
        </w:numPr>
        <w:spacing w:after="80" w:line="280"/>
      </w:pPr>
      <w:r>
        <w:rPr>
          <w:color w:val="1F2937"/>
          <w:sz w:val="21"/>
          <w:szCs w:val="21"/>
        </w:rPr>
        <w:t xml:space="preserve">Accompagnement personnalisé</w:t>
      </w:r>
    </w:p>
    <w:p>
      <w:pPr>
        <w:pStyle w:val="ListParagraph"/>
        <w:numPr>
          <w:ilvl w:val="0"/>
          <w:numId w:val="2"/>
        </w:numPr>
        <w:spacing w:after="80" w:line="280"/>
      </w:pPr>
      <w:r>
        <w:rPr>
          <w:color w:val="1F2937"/>
          <w:sz w:val="21"/>
          <w:szCs w:val="21"/>
        </w:rPr>
        <w:t xml:space="preserve">Stages</w:t>
      </w:r>
    </w:p>
    <w:p>
      <w:pPr>
        <w:pStyle w:val="ListParagraph"/>
        <w:numPr>
          <w:ilvl w:val="0"/>
          <w:numId w:val="2"/>
        </w:numPr>
        <w:spacing w:after="80" w:line="280"/>
      </w:pPr>
      <w:r>
        <w:rPr>
          <w:color w:val="1F2937"/>
          <w:sz w:val="21"/>
          <w:szCs w:val="21"/>
        </w:rPr>
        <w:t xml:space="preserve">Préparation aux examens</w:t>
      </w:r>
    </w:p>
    <w:p>
      <w:pPr>
        <w:pStyle w:val="Heading2"/>
        <w:spacing w:after="120" w:before="300"/>
      </w:pPr>
      <w:r>
        <w:rPr>
          <w:b/>
          <w:bCs/>
          <w:color w:val="EC4899"/>
        </w:rPr>
        <w:t xml:space="preserve">4.3 Notre méthode (méthode SCHFL)</w:t>
      </w:r>
    </w:p>
    <w:p>
      <w:pPr>
        <w:spacing w:after="160" w:line="300"/>
      </w:pPr>
      <w:r>
        <w:rPr>
          <w:color w:val="1F2937"/>
          <w:sz w:val="21"/>
          <w:szCs w:val="21"/>
        </w:rPr>
        <w:t xml:space="preserve">Rubrique centrale et différenciante du site :</w:t>
      </w:r>
    </w:p>
    <w:p>
      <w:pPr>
        <w:pStyle w:val="ListParagraph"/>
        <w:numPr>
          <w:ilvl w:val="0"/>
          <w:numId w:val="2"/>
        </w:numPr>
        <w:spacing w:after="80" w:line="280"/>
      </w:pPr>
      <w:r>
        <w:rPr>
          <w:color w:val="1F2937"/>
          <w:sz w:val="21"/>
          <w:szCs w:val="21"/>
        </w:rPr>
        <w:t xml:space="preserve">Évaluation / diagnostic de l'élève</w:t>
      </w:r>
    </w:p>
    <w:p>
      <w:pPr>
        <w:pStyle w:val="ListParagraph"/>
        <w:numPr>
          <w:ilvl w:val="0"/>
          <w:numId w:val="2"/>
        </w:numPr>
        <w:spacing w:after="80" w:line="280"/>
      </w:pPr>
      <w:r>
        <w:rPr>
          <w:color w:val="1F2937"/>
          <w:sz w:val="21"/>
          <w:szCs w:val="21"/>
        </w:rPr>
        <w:t xml:space="preserve">Cours ciblés</w:t>
      </w:r>
    </w:p>
    <w:p>
      <w:pPr>
        <w:pStyle w:val="ListParagraph"/>
        <w:numPr>
          <w:ilvl w:val="0"/>
          <w:numId w:val="2"/>
        </w:numPr>
        <w:spacing w:after="80" w:line="280"/>
      </w:pPr>
      <w:r>
        <w:rPr>
          <w:color w:val="1F2937"/>
          <w:sz w:val="21"/>
          <w:szCs w:val="21"/>
        </w:rPr>
        <w:t xml:space="preserve">Exercices et travaux pratiques</w:t>
      </w:r>
    </w:p>
    <w:p>
      <w:pPr>
        <w:pStyle w:val="ListParagraph"/>
        <w:numPr>
          <w:ilvl w:val="0"/>
          <w:numId w:val="2"/>
        </w:numPr>
        <w:spacing w:after="80" w:line="280"/>
      </w:pPr>
      <w:r>
        <w:rPr>
          <w:color w:val="1F2937"/>
          <w:sz w:val="21"/>
          <w:szCs w:val="21"/>
        </w:rPr>
        <w:t xml:space="preserve">Contrôles réguliers</w:t>
      </w:r>
    </w:p>
    <w:p>
      <w:pPr>
        <w:pStyle w:val="ListParagraph"/>
        <w:numPr>
          <w:ilvl w:val="0"/>
          <w:numId w:val="2"/>
        </w:numPr>
        <w:spacing w:after="80" w:line="280"/>
      </w:pPr>
      <w:r>
        <w:rPr>
          <w:color w:val="1F2937"/>
          <w:sz w:val="21"/>
          <w:szCs w:val="21"/>
        </w:rPr>
        <w:t xml:space="preserve">Suivi de la progression</w:t>
      </w:r>
    </w:p>
    <w:p>
      <w:pPr>
        <w:pStyle w:val="ListParagraph"/>
        <w:numPr>
          <w:ilvl w:val="0"/>
          <w:numId w:val="2"/>
        </w:numPr>
        <w:spacing w:after="80" w:line="280"/>
      </w:pPr>
      <w:r>
        <w:rPr>
          <w:color w:val="1F2937"/>
          <w:sz w:val="21"/>
          <w:szCs w:val="21"/>
        </w:rPr>
        <w:t xml:space="preserve">Examen / Test de niveau SCHFL</w:t>
      </w:r>
    </w:p>
    <w:p>
      <w:pPr>
        <w:pStyle w:val="Heading2"/>
        <w:spacing w:after="120" w:before="300"/>
      </w:pPr>
      <w:r>
        <w:rPr>
          <w:b/>
          <w:bCs/>
          <w:color w:val="EC4899"/>
        </w:rPr>
        <w:t xml:space="preserve">4.4 Notre équipe pédagogique</w:t>
      </w:r>
    </w:p>
    <w:p>
      <w:pPr>
        <w:pStyle w:val="ListParagraph"/>
        <w:numPr>
          <w:ilvl w:val="0"/>
          <w:numId w:val="2"/>
        </w:numPr>
        <w:spacing w:after="80" w:line="280"/>
      </w:pPr>
      <w:r>
        <w:rPr>
          <w:color w:val="1F2937"/>
          <w:sz w:val="21"/>
          <w:szCs w:val="21"/>
        </w:rPr>
        <w:t xml:space="preserve">Présentation de chaque enseignant (photo, matière enseignée, qualifications, parcours)</w:t>
      </w:r>
    </w:p>
    <w:p>
      <w:pPr>
        <w:pStyle w:val="Heading2"/>
        <w:spacing w:after="120" w:before="300"/>
      </w:pPr>
      <w:r>
        <w:rPr>
          <w:b/>
          <w:bCs/>
          <w:color w:val="EC4899"/>
        </w:rPr>
        <w:t xml:space="preserve">4.5 Nos résultats</w:t>
      </w:r>
    </w:p>
    <w:p>
      <w:pPr>
        <w:pStyle w:val="ListParagraph"/>
        <w:numPr>
          <w:ilvl w:val="0"/>
          <w:numId w:val="2"/>
        </w:numPr>
        <w:spacing w:after="80" w:line="280"/>
      </w:pPr>
      <w:r>
        <w:rPr>
          <w:color w:val="1F2937"/>
          <w:sz w:val="21"/>
          <w:szCs w:val="21"/>
        </w:rPr>
        <w:t xml:space="preserve">Taux de réussite au Baccalauréat, Probatoire, BEPC et ETNS, année par année</w:t>
      </w:r>
    </w:p>
    <w:p>
      <w:pPr>
        <w:pStyle w:val="Heading2"/>
        <w:spacing w:after="120" w:before="300"/>
      </w:pPr>
      <w:r>
        <w:rPr>
          <w:b/>
          <w:bCs/>
          <w:color w:val="EC4899"/>
        </w:rPr>
        <w:t xml:space="preserve">4.6 Tarifs &amp; Planning</w:t>
      </w:r>
    </w:p>
    <w:p>
      <w:pPr>
        <w:pStyle w:val="ListParagraph"/>
        <w:numPr>
          <w:ilvl w:val="0"/>
          <w:numId w:val="2"/>
        </w:numPr>
        <w:spacing w:after="80" w:line="280"/>
      </w:pPr>
      <w:r>
        <w:rPr>
          <w:color w:val="1F2937"/>
          <w:sz w:val="21"/>
          <w:szCs w:val="21"/>
        </w:rPr>
        <w:t xml:space="preserve">Grille tarifaire par niveau</w:t>
      </w:r>
    </w:p>
    <w:p>
      <w:pPr>
        <w:pStyle w:val="ListParagraph"/>
        <w:numPr>
          <w:ilvl w:val="0"/>
          <w:numId w:val="2"/>
        </w:numPr>
        <w:spacing w:after="80" w:line="280"/>
      </w:pPr>
      <w:r>
        <w:rPr>
          <w:color w:val="1F2937"/>
          <w:sz w:val="21"/>
          <w:szCs w:val="21"/>
        </w:rPr>
        <w:t xml:space="preserve">Planning des cours (niveaux concernés, horaires, lieux)</w:t>
      </w:r>
    </w:p>
    <w:p>
      <w:pPr>
        <w:pStyle w:val="ListParagraph"/>
        <w:numPr>
          <w:ilvl w:val="0"/>
          <w:numId w:val="2"/>
        </w:numPr>
        <w:spacing w:after="80" w:line="280"/>
      </w:pPr>
      <w:r>
        <w:rPr>
          <w:color w:val="1F2937"/>
          <w:sz w:val="21"/>
          <w:szCs w:val="21"/>
        </w:rPr>
        <w:t xml:space="preserve">Conditions particulières (ex. : blouse pour certaines classes, ordinateur pour les TI, etc.)</w:t>
      </w:r>
    </w:p>
    <w:p>
      <w:pPr>
        <w:pStyle w:val="Heading2"/>
        <w:spacing w:after="120" w:before="300"/>
      </w:pPr>
      <w:r>
        <w:rPr>
          <w:b/>
          <w:bCs/>
          <w:color w:val="EC4899"/>
        </w:rPr>
        <w:t xml:space="preserve">4.7 Événements</w:t>
      </w:r>
    </w:p>
    <w:p>
      <w:pPr>
        <w:pStyle w:val="ListParagraph"/>
        <w:numPr>
          <w:ilvl w:val="0"/>
          <w:numId w:val="2"/>
        </w:numPr>
        <w:spacing w:after="80" w:line="280"/>
      </w:pPr>
      <w:r>
        <w:rPr>
          <w:color w:val="1F2937"/>
          <w:sz w:val="21"/>
          <w:szCs w:val="21"/>
        </w:rPr>
        <w:t xml:space="preserve">Liste des prochains événements : olympiades, cérémonies de distinction, concours et compétitions, activités pédagogiques, sportives et culturelles, rassemblements généraux</w:t>
      </w:r>
    </w:p>
    <w:p>
      <w:pPr>
        <w:pStyle w:val="ListParagraph"/>
        <w:numPr>
          <w:ilvl w:val="0"/>
          <w:numId w:val="2"/>
        </w:numPr>
        <w:spacing w:after="80" w:line="280"/>
      </w:pPr>
      <w:r>
        <w:rPr>
          <w:color w:val="1F2937"/>
          <w:sz w:val="21"/>
          <w:szCs w:val="21"/>
        </w:rPr>
        <w:t xml:space="preserve">Galerie photos / vidéos des événements passés</w:t>
      </w:r>
    </w:p>
    <w:p>
      <w:pPr>
        <w:pStyle w:val="Heading2"/>
        <w:spacing w:after="120" w:before="300"/>
      </w:pPr>
      <w:r>
        <w:rPr>
          <w:b/>
          <w:bCs/>
          <w:color w:val="EC4899"/>
        </w:rPr>
        <w:t xml:space="preserve">4.8 Inscription</w:t>
      </w:r>
    </w:p>
    <w:p>
      <w:pPr>
        <w:pStyle w:val="ListParagraph"/>
        <w:numPr>
          <w:ilvl w:val="0"/>
          <w:numId w:val="2"/>
        </w:numPr>
        <w:spacing w:after="80" w:line="280"/>
      </w:pPr>
      <w:r>
        <w:rPr>
          <w:color w:val="1F2937"/>
          <w:sz w:val="21"/>
          <w:szCs w:val="21"/>
        </w:rPr>
        <w:t xml:space="preserve">Formulaire d'inscription en ligne (voir détail au chapitre 5.2 et Annexe 2)</w:t>
      </w:r>
    </w:p>
    <w:p>
      <w:pPr>
        <w:pStyle w:val="Heading2"/>
        <w:spacing w:after="120" w:before="300"/>
      </w:pPr>
      <w:r>
        <w:rPr>
          <w:b/>
          <w:bCs/>
          <w:color w:val="EC4899"/>
        </w:rPr>
        <w:t xml:space="preserve">4.9 Contact</w:t>
      </w:r>
    </w:p>
    <w:p>
      <w:pPr>
        <w:pStyle w:val="ListParagraph"/>
        <w:numPr>
          <w:ilvl w:val="0"/>
          <w:numId w:val="2"/>
        </w:numPr>
        <w:spacing w:after="80" w:line="280"/>
      </w:pPr>
      <w:r>
        <w:rPr>
          <w:color w:val="1F2937"/>
          <w:sz w:val="21"/>
          <w:szCs w:val="21"/>
        </w:rPr>
        <w:t xml:space="preserve">Localisation (carte), téléphone, WhatsApp, horaires d'ouverture, lien Facebook</w:t>
      </w:r>
    </w:p>
    <w:p>
      <w:pPr>
        <w:pStyle w:val="Heading2"/>
        <w:spacing w:after="120" w:before="300"/>
      </w:pPr>
      <w:r>
        <w:rPr>
          <w:b/>
          <w:bCs/>
          <w:color w:val="EC4899"/>
        </w:rPr>
        <w:t xml:space="preserve">4.10 Épreuves &amp; sujets d'examens</w:t>
      </w:r>
    </w:p>
    <w:p>
      <w:pPr>
        <w:pStyle w:val="ListParagraph"/>
        <w:numPr>
          <w:ilvl w:val="0"/>
          <w:numId w:val="2"/>
        </w:numPr>
        <w:spacing w:after="80" w:line="280"/>
      </w:pPr>
      <w:r>
        <w:rPr>
          <w:color w:val="1F2937"/>
          <w:sz w:val="21"/>
          <w:szCs w:val="21"/>
        </w:rPr>
        <w:t xml:space="preserve">Anciens sujets du BEPC, du Probatoire, du Baccalauréat et de l'ETNS</w:t>
      </w:r>
    </w:p>
    <w:p>
      <w:pPr>
        <w:pStyle w:val="ListParagraph"/>
        <w:numPr>
          <w:ilvl w:val="0"/>
          <w:numId w:val="2"/>
        </w:numPr>
        <w:spacing w:after="80" w:line="280"/>
      </w:pPr>
      <w:r>
        <w:rPr>
          <w:color w:val="1F2937"/>
          <w:sz w:val="21"/>
          <w:szCs w:val="21"/>
        </w:rPr>
        <w:t xml:space="preserve">Corrigés des épreuves, téléchargeables</w:t>
      </w:r>
    </w:p>
    <w:p>
      <w:pPr>
        <w:pStyle w:val="Heading2"/>
        <w:spacing w:after="120" w:before="300"/>
      </w:pPr>
      <w:r>
        <w:rPr>
          <w:b/>
          <w:bCs/>
          <w:color w:val="EC4899"/>
        </w:rPr>
        <w:t xml:space="preserve">4.11 Parcours professionnel &amp; orientation</w:t>
      </w:r>
    </w:p>
    <w:p>
      <w:pPr>
        <w:pStyle w:val="ListParagraph"/>
        <w:numPr>
          <w:ilvl w:val="0"/>
          <w:numId w:val="2"/>
        </w:numPr>
        <w:spacing w:after="80" w:line="280"/>
      </w:pPr>
      <w:r>
        <w:rPr>
          <w:color w:val="1F2937"/>
          <w:sz w:val="21"/>
          <w:szCs w:val="21"/>
        </w:rPr>
        <w:t xml:space="preserve">Concours, écoles et universités, emplois et opportunités</w:t>
      </w:r>
    </w:p>
    <w:p>
      <w:pPr>
        <w:pStyle w:val="ListParagraph"/>
        <w:numPr>
          <w:ilvl w:val="0"/>
          <w:numId w:val="2"/>
        </w:numPr>
        <w:spacing w:after="80" w:line="280"/>
      </w:pPr>
      <w:r>
        <w:rPr>
          <w:color w:val="1F2937"/>
          <w:sz w:val="21"/>
          <w:szCs w:val="21"/>
        </w:rPr>
        <w:t xml:space="preserve">Stages académiques, professionnels et de vacances</w:t>
      </w:r>
    </w:p>
    <w:p>
      <w:pPr>
        <w:pStyle w:val="ListParagraph"/>
        <w:numPr>
          <w:ilvl w:val="0"/>
          <w:numId w:val="2"/>
        </w:numPr>
        <w:spacing w:after="80" w:line="280"/>
      </w:pPr>
      <w:r>
        <w:rPr>
          <w:color w:val="1F2937"/>
          <w:sz w:val="21"/>
          <w:szCs w:val="21"/>
        </w:rPr>
        <w:t xml:space="preserve">Bourses d'étude</w:t>
      </w:r>
    </w:p>
    <w:p>
      <w:r>
        <w:br w:type="page"/>
      </w:r>
    </w:p>
    <w:p>
      <w:pPr>
        <w:pStyle w:val="Heading1"/>
        <w:pBdr>
          <w:bottom w:val="single" w:color="EC4899" w:sz="12" w:space="4"/>
        </w:pBdr>
        <w:spacing w:after="200" w:before="400"/>
      </w:pPr>
      <w:r>
        <w:rPr>
          <w:b/>
          <w:bCs/>
          <w:color w:val="831843"/>
        </w:rPr>
        <w:t xml:space="preserve">5. SPÉCIFICATIONS FONCTIONNELLES DÉTAILLÉES</w:t>
      </w:r>
    </w:p>
    <w:p>
      <w:pPr>
        <w:pStyle w:val="Heading2"/>
        <w:spacing w:after="120" w:before="300"/>
      </w:pPr>
      <w:r>
        <w:rPr>
          <w:b/>
          <w:bCs/>
          <w:color w:val="EC4899"/>
        </w:rPr>
        <w:t xml:space="preserve">5.1 Site public</w:t>
      </w:r>
    </w:p>
    <w:p>
      <w:pPr>
        <w:spacing w:after="160" w:line="300"/>
      </w:pPr>
      <w:r>
        <w:rPr>
          <w:color w:val="1F2937"/>
          <w:sz w:val="21"/>
          <w:szCs w:val="21"/>
        </w:rPr>
        <w:t xml:space="preserve">Le site public reprend fidèlement la structure, la charte graphique (rose/blanc/noir) et la mise en page de la maquette fournie (voir Annexe 1) : en-tête avec menu de navigation fixe et bouton « S'inscrire » mis en avant, pied de page complet avec liens de navigation, ressources, orientation et coordonnées.</w:t>
      </w:r>
    </w:p>
    <w:p>
      <w:pPr>
        <w:spacing w:after="160" w:line="300"/>
      </w:pPr>
      <w:r>
        <w:rPr>
          <w:color w:val="1F2937"/>
          <w:sz w:val="21"/>
          <w:szCs w:val="21"/>
        </w:rPr>
        <w:t xml:space="preserve">Le site devra être entièrement responsive (ordinateur, tablette, mobile) et optimisé pour un chargement rapide, y compris avec une connexion internet limitée.</w:t>
      </w:r>
    </w:p>
    <w:p>
      <w:pPr>
        <w:pStyle w:val="Heading2"/>
        <w:spacing w:after="120" w:before="300"/>
      </w:pPr>
      <w:r>
        <w:rPr>
          <w:b/>
          <w:bCs/>
          <w:color w:val="EC4899"/>
        </w:rPr>
        <w:t xml:space="preserve">5.2 Formulaire d'inscription en ligne</w:t>
      </w:r>
    </w:p>
    <w:p>
      <w:pPr>
        <w:spacing w:after="160" w:line="300"/>
      </w:pPr>
      <w:r>
        <w:rPr>
          <w:color w:val="1F2937"/>
          <w:sz w:val="21"/>
          <w:szCs w:val="21"/>
        </w:rPr>
        <w:t xml:space="preserve">Un formulaire en ligne reprend l'ensemble des champs de la fiche d'inscription physique actuellement utilisée par SCHOOL FOR ALL (voir Annexe 2) :</w:t>
      </w:r>
    </w:p>
    <w:p>
      <w:pPr>
        <w:pStyle w:val="ListParagraph"/>
        <w:numPr>
          <w:ilvl w:val="0"/>
          <w:numId w:val="2"/>
        </w:numPr>
        <w:spacing w:after="80" w:line="280"/>
      </w:pPr>
      <w:r>
        <w:rPr>
          <w:color w:val="1F2937"/>
          <w:sz w:val="21"/>
          <w:szCs w:val="21"/>
        </w:rPr>
        <w:t xml:space="preserve">Photo (upload, format 4x4)</w:t>
      </w:r>
    </w:p>
    <w:p>
      <w:pPr>
        <w:pStyle w:val="ListParagraph"/>
        <w:numPr>
          <w:ilvl w:val="0"/>
          <w:numId w:val="2"/>
        </w:numPr>
        <w:spacing w:after="80" w:line="280"/>
      </w:pPr>
      <w:r>
        <w:rPr>
          <w:color w:val="1F2937"/>
          <w:sz w:val="21"/>
          <w:szCs w:val="21"/>
        </w:rPr>
        <w:t xml:space="preserve">Nom, prénom, date et lieu de naissance, nationalité, numéro de téléphone</w:t>
      </w:r>
    </w:p>
    <w:p>
      <w:pPr>
        <w:pStyle w:val="ListParagraph"/>
        <w:numPr>
          <w:ilvl w:val="0"/>
          <w:numId w:val="2"/>
        </w:numPr>
        <w:spacing w:after="80" w:line="280"/>
      </w:pPr>
      <w:r>
        <w:rPr>
          <w:color w:val="1F2937"/>
          <w:sz w:val="21"/>
          <w:szCs w:val="21"/>
        </w:rPr>
        <w:t xml:space="preserve">Établissement d'origine, classe, série, année scolaire, statut (nouveau / ancien)</w:t>
      </w:r>
    </w:p>
    <w:p>
      <w:pPr>
        <w:pStyle w:val="ListParagraph"/>
        <w:numPr>
          <w:ilvl w:val="0"/>
          <w:numId w:val="2"/>
        </w:numPr>
        <w:spacing w:after="80" w:line="280"/>
      </w:pPr>
      <w:r>
        <w:rPr>
          <w:color w:val="1F2937"/>
          <w:sz w:val="21"/>
          <w:szCs w:val="21"/>
        </w:rPr>
        <w:t xml:space="preserve">Adresse, date de début des cours souhaitée</w:t>
      </w:r>
    </w:p>
    <w:p>
      <w:pPr>
        <w:pStyle w:val="ListParagraph"/>
        <w:numPr>
          <w:ilvl w:val="0"/>
          <w:numId w:val="2"/>
        </w:numPr>
        <w:spacing w:after="80" w:line="280"/>
      </w:pPr>
      <w:r>
        <w:rPr>
          <w:color w:val="1F2937"/>
          <w:sz w:val="21"/>
          <w:szCs w:val="21"/>
        </w:rPr>
        <w:t xml:space="preserve">Personne à contacter en cas d'urgence (nom, numéro, adresse)</w:t>
      </w:r>
    </w:p>
    <w:p>
      <w:pPr>
        <w:pStyle w:val="ListParagraph"/>
        <w:numPr>
          <w:ilvl w:val="0"/>
          <w:numId w:val="2"/>
        </w:numPr>
        <w:spacing w:after="80" w:line="280"/>
      </w:pPr>
      <w:r>
        <w:rPr>
          <w:color w:val="1F2937"/>
          <w:sz w:val="21"/>
          <w:szCs w:val="21"/>
        </w:rPr>
        <w:t xml:space="preserve">Moyen de découverte de SCHOOL FOR ALL</w:t>
      </w:r>
    </w:p>
    <w:p>
      <w:pPr>
        <w:pStyle w:val="ListParagraph"/>
        <w:numPr>
          <w:ilvl w:val="0"/>
          <w:numId w:val="2"/>
        </w:numPr>
        <w:spacing w:after="80" w:line="280"/>
      </w:pPr>
      <w:r>
        <w:rPr>
          <w:color w:val="1F2937"/>
          <w:sz w:val="21"/>
          <w:szCs w:val="21"/>
        </w:rPr>
        <w:t xml:space="preserve">Difficultés scolaires éventuelles (case à cocher oui/non + précisions)</w:t>
      </w:r>
    </w:p>
    <w:p>
      <w:pPr>
        <w:pStyle w:val="ListParagraph"/>
        <w:numPr>
          <w:ilvl w:val="0"/>
          <w:numId w:val="2"/>
        </w:numPr>
        <w:spacing w:after="80" w:line="280"/>
      </w:pPr>
      <w:r>
        <w:rPr>
          <w:color w:val="1F2937"/>
          <w:sz w:val="21"/>
          <w:szCs w:val="21"/>
        </w:rPr>
        <w:t xml:space="preserve">Projet de carrière (zone de texte libre)</w:t>
      </w:r>
    </w:p>
    <w:p>
      <w:pPr>
        <w:pStyle w:val="ListParagraph"/>
        <w:numPr>
          <w:ilvl w:val="0"/>
          <w:numId w:val="2"/>
        </w:numPr>
        <w:spacing w:after="80" w:line="280"/>
      </w:pPr>
      <w:r>
        <w:rPr>
          <w:color w:val="1F2937"/>
          <w:sz w:val="21"/>
          <w:szCs w:val="21"/>
        </w:rPr>
        <w:t xml:space="preserve">Case à cocher d'acceptation du règlement intérieur (affiché en intégralité sur la page)</w:t>
      </w:r>
    </w:p>
    <w:p>
      <w:pPr>
        <w:spacing w:after="160" w:line="300"/>
      </w:pPr>
      <w:r>
        <w:rPr>
          <w:color w:val="1F2937"/>
          <w:sz w:val="21"/>
          <w:szCs w:val="21"/>
        </w:rPr>
        <w:t xml:space="preserve">Lorsque l'élève / le parent clique sur le bouton « S'inscrire », les informations saisies sont :</w:t>
      </w:r>
    </w:p>
    <w:p>
      <w:pPr>
        <w:pStyle w:val="ListParagraph"/>
        <w:numPr>
          <w:ilvl w:val="0"/>
          <w:numId w:val="3"/>
        </w:numPr>
        <w:spacing w:after="80" w:line="280"/>
      </w:pPr>
      <w:r>
        <w:rPr>
          <w:color w:val="1F2937"/>
          <w:sz w:val="21"/>
          <w:szCs w:val="21"/>
        </w:rPr>
        <w:t xml:space="preserve">Validées côté client (JavaScript) et côté serveur (PHP) — champs obligatoires, formats de numéro, etc.</w:t>
      </w:r>
    </w:p>
    <w:p>
      <w:pPr>
        <w:pStyle w:val="ListParagraph"/>
        <w:numPr>
          <w:ilvl w:val="0"/>
          <w:numId w:val="3"/>
        </w:numPr>
        <w:spacing w:after="80" w:line="280"/>
      </w:pPr>
      <w:r>
        <w:rPr>
          <w:color w:val="1F2937"/>
          <w:sz w:val="21"/>
          <w:szCs w:val="21"/>
        </w:rPr>
        <w:t xml:space="preserve">Enregistrées dans la base de données (table des inscriptions, visible depuis le dashboard admin)</w:t>
      </w:r>
    </w:p>
    <w:p>
      <w:pPr>
        <w:pStyle w:val="ListParagraph"/>
        <w:numPr>
          <w:ilvl w:val="0"/>
          <w:numId w:val="3"/>
        </w:numPr>
        <w:spacing w:after="80" w:line="280"/>
      </w:pPr>
      <w:r>
        <w:rPr>
          <w:color w:val="1F2937"/>
          <w:sz w:val="21"/>
          <w:szCs w:val="21"/>
        </w:rPr>
        <w:t xml:space="preserve">Formatées automatiquement et transmises vers WhatsApp (numéro de SCHOOL FOR ALL) via un lien « click-to-chat » (wa.me) pré-rempli avec le récapitulatif de la fiche, ou via l'API WhatsApp Business si un compte professionnel est disponible</w:t>
      </w:r>
    </w:p>
    <w:p>
      <w:pPr>
        <w:pStyle w:val="ListParagraph"/>
        <w:numPr>
          <w:ilvl w:val="0"/>
          <w:numId w:val="3"/>
        </w:numPr>
        <w:spacing w:after="80" w:line="280"/>
      </w:pPr>
      <w:r>
        <w:rPr>
          <w:color w:val="1F2937"/>
          <w:sz w:val="21"/>
          <w:szCs w:val="21"/>
        </w:rPr>
        <w:t xml:space="preserve">Confirmées à l'utilisateur par un message de succès à l'écran</w:t>
      </w:r>
    </w:p>
    <w:p>
      <w:pPr>
        <w:pStyle w:val="Heading2"/>
        <w:spacing w:after="120" w:before="300"/>
      </w:pPr>
      <w:r>
        <w:rPr>
          <w:b/>
          <w:bCs/>
          <w:color w:val="EC4899"/>
        </w:rPr>
        <w:t xml:space="preserve">5.3 Tableau de bord administrateur</w:t>
      </w:r>
    </w:p>
    <w:p>
      <w:pPr>
        <w:spacing w:after="160" w:line="300"/>
      </w:pPr>
      <w:r>
        <w:rPr>
          <w:color w:val="1F2937"/>
          <w:sz w:val="21"/>
          <w:szCs w:val="21"/>
        </w:rPr>
        <w:t xml:space="preserve">Un espace d'administration sécurisé (accès par identifiant / mot de passe) permet à l'équipe SCHOOL FOR ALL de gérer l'intégralité du contenu du site, sans compétence technique. Il comprend les modules suivants :</w:t>
      </w:r>
    </w:p>
    <w:p>
      <w:pPr>
        <w:pStyle w:val="Heading3"/>
        <w:spacing w:after="100" w:before="200"/>
      </w:pPr>
      <w:r>
        <w:rPr>
          <w:b/>
          <w:bCs/>
          <w:i/>
          <w:iCs/>
          <w:color w:val="1F2937"/>
        </w:rPr>
        <w:t xml:space="preserve">Module 1 — Newsletter / Blog</w:t>
      </w:r>
    </w:p>
    <w:p>
      <w:pPr>
        <w:pStyle w:val="ListParagraph"/>
        <w:numPr>
          <w:ilvl w:val="0"/>
          <w:numId w:val="2"/>
        </w:numPr>
        <w:spacing w:after="80" w:line="280"/>
      </w:pPr>
      <w:r>
        <w:rPr>
          <w:color w:val="1F2937"/>
          <w:sz w:val="21"/>
          <w:szCs w:val="21"/>
        </w:rPr>
        <w:t xml:space="preserve">Publication d'articles avec photo(s) et contenu texte, à la manière d'une publication Facebook</w:t>
      </w:r>
    </w:p>
    <w:p>
      <w:pPr>
        <w:pStyle w:val="ListParagraph"/>
        <w:numPr>
          <w:ilvl w:val="0"/>
          <w:numId w:val="2"/>
        </w:numPr>
        <w:spacing w:after="80" w:line="280"/>
      </w:pPr>
      <w:r>
        <w:rPr>
          <w:color w:val="1F2937"/>
          <w:sz w:val="21"/>
          <w:szCs w:val="21"/>
        </w:rPr>
        <w:t xml:space="preserve">Fonctionnalités sociales intégrées : « j'aime » (like), commentaires, partage (lien direct + réseaux sociaux)</w:t>
      </w:r>
    </w:p>
    <w:p>
      <w:pPr>
        <w:pStyle w:val="ListParagraph"/>
        <w:numPr>
          <w:ilvl w:val="0"/>
          <w:numId w:val="2"/>
        </w:numPr>
        <w:spacing w:after="80" w:line="280"/>
      </w:pPr>
      <w:r>
        <w:rPr>
          <w:color w:val="1F2937"/>
          <w:sz w:val="21"/>
          <w:szCs w:val="21"/>
        </w:rPr>
        <w:t xml:space="preserve">Modération des commentaires depuis le dashboard (validation / suppression)</w:t>
      </w:r>
    </w:p>
    <w:p>
      <w:pPr>
        <w:pStyle w:val="ListParagraph"/>
        <w:numPr>
          <w:ilvl w:val="0"/>
          <w:numId w:val="2"/>
        </w:numPr>
        <w:spacing w:after="80" w:line="280"/>
      </w:pPr>
      <w:r>
        <w:rPr>
          <w:color w:val="1F2937"/>
          <w:sz w:val="21"/>
          <w:szCs w:val="21"/>
        </w:rPr>
        <w:t xml:space="preserve">Édition et suppression des publications</w:t>
      </w:r>
    </w:p>
    <w:p>
      <w:pPr>
        <w:pStyle w:val="Heading3"/>
        <w:spacing w:after="100" w:before="200"/>
      </w:pPr>
      <w:r>
        <w:rPr>
          <w:b/>
          <w:bCs/>
          <w:i/>
          <w:iCs/>
          <w:color w:val="1F2937"/>
        </w:rPr>
        <w:t xml:space="preserve">Module 2 — Épreuves &amp; corrigés</w:t>
      </w:r>
    </w:p>
    <w:p>
      <w:pPr>
        <w:pStyle w:val="ListParagraph"/>
        <w:numPr>
          <w:ilvl w:val="0"/>
          <w:numId w:val="2"/>
        </w:numPr>
        <w:spacing w:after="80" w:line="280"/>
      </w:pPr>
      <w:r>
        <w:rPr>
          <w:color w:val="1F2937"/>
          <w:sz w:val="21"/>
          <w:szCs w:val="21"/>
        </w:rPr>
        <w:t xml:space="preserve">Dépôt de sujets d'examens et de leurs corrigés (PDF, images, Word), classés par examen (BEPC, Probatoire, Baccalauréat, ETNS), par matière et par année</w:t>
      </w:r>
    </w:p>
    <w:p>
      <w:pPr>
        <w:pStyle w:val="ListParagraph"/>
        <w:numPr>
          <w:ilvl w:val="0"/>
          <w:numId w:val="2"/>
        </w:numPr>
        <w:spacing w:after="80" w:line="280"/>
      </w:pPr>
      <w:r>
        <w:rPr>
          <w:color w:val="1F2937"/>
          <w:sz w:val="21"/>
          <w:szCs w:val="21"/>
        </w:rPr>
        <w:t xml:space="preserve">Mise à disposition en téléchargement sur le site public</w:t>
      </w:r>
    </w:p>
    <w:p>
      <w:pPr>
        <w:pStyle w:val="Heading3"/>
        <w:spacing w:after="100" w:before="200"/>
      </w:pPr>
      <w:r>
        <w:rPr>
          <w:b/>
          <w:bCs/>
          <w:i/>
          <w:iCs/>
          <w:color w:val="1F2937"/>
        </w:rPr>
        <w:t xml:space="preserve">Module 3 — Import de la liste des élèves</w:t>
      </w:r>
    </w:p>
    <w:p>
      <w:pPr>
        <w:pStyle w:val="ListParagraph"/>
        <w:numPr>
          <w:ilvl w:val="0"/>
          <w:numId w:val="2"/>
        </w:numPr>
        <w:spacing w:after="80" w:line="280"/>
      </w:pPr>
      <w:r>
        <w:rPr>
          <w:color w:val="1F2937"/>
          <w:sz w:val="21"/>
          <w:szCs w:val="21"/>
        </w:rPr>
        <w:t xml:space="preserve">Import simplifié d'une liste d'élèves via un fichier Excel/CSV, traité côté client en JavaScript (bibliothèque de lecture de fichiers tableur), avec aperçu avant validation et import en base de données</w:t>
      </w:r>
    </w:p>
    <w:p>
      <w:pPr>
        <w:pStyle w:val="ListParagraph"/>
        <w:numPr>
          <w:ilvl w:val="0"/>
          <w:numId w:val="2"/>
        </w:numPr>
        <w:spacing w:after="80" w:line="280"/>
      </w:pPr>
      <w:r>
        <w:rPr>
          <w:color w:val="1F2937"/>
          <w:sz w:val="21"/>
          <w:szCs w:val="21"/>
        </w:rPr>
        <w:t xml:space="preserve">Modèle de fichier téléchargeable pour garantir le bon format des colonnes</w:t>
      </w:r>
    </w:p>
    <w:p>
      <w:pPr>
        <w:pStyle w:val="ListParagraph"/>
        <w:numPr>
          <w:ilvl w:val="0"/>
          <w:numId w:val="2"/>
        </w:numPr>
        <w:spacing w:after="80" w:line="280"/>
      </w:pPr>
      <w:r>
        <w:rPr>
          <w:color w:val="1F2937"/>
          <w:sz w:val="21"/>
          <w:szCs w:val="21"/>
        </w:rPr>
        <w:t xml:space="preserve">Gestion (ajout, modification, suppression) individuelle des fiches élèves après import</w:t>
      </w:r>
    </w:p>
    <w:p>
      <w:pPr>
        <w:pStyle w:val="Heading3"/>
        <w:spacing w:after="100" w:before="200"/>
      </w:pPr>
      <w:r>
        <w:rPr>
          <w:b/>
          <w:bCs/>
          <w:i/>
          <w:iCs/>
          <w:color w:val="1F2937"/>
        </w:rPr>
        <w:t xml:space="preserve">Module 4 — Témoignages, résultats, planning, tarifs</w:t>
      </w:r>
    </w:p>
    <w:p>
      <w:pPr>
        <w:pStyle w:val="ListParagraph"/>
        <w:numPr>
          <w:ilvl w:val="0"/>
          <w:numId w:val="2"/>
        </w:numPr>
        <w:spacing w:after="80" w:line="280"/>
      </w:pPr>
      <w:r>
        <w:rPr>
          <w:color w:val="1F2937"/>
          <w:sz w:val="21"/>
          <w:szCs w:val="21"/>
        </w:rPr>
        <w:t xml:space="preserve">Ajout / modification / suppression des témoignages (texte, nom, photo, statut)</w:t>
      </w:r>
    </w:p>
    <w:p>
      <w:pPr>
        <w:pStyle w:val="ListParagraph"/>
        <w:numPr>
          <w:ilvl w:val="0"/>
          <w:numId w:val="2"/>
        </w:numPr>
        <w:spacing w:after="80" w:line="280"/>
      </w:pPr>
      <w:r>
        <w:rPr>
          <w:color w:val="1F2937"/>
          <w:sz w:val="21"/>
          <w:szCs w:val="21"/>
        </w:rPr>
        <w:t xml:space="preserve">Mise à jour des taux de réussite (Bac, Probatoire, BEPC, ETNS) par année</w:t>
      </w:r>
    </w:p>
    <w:p>
      <w:pPr>
        <w:pStyle w:val="ListParagraph"/>
        <w:numPr>
          <w:ilvl w:val="0"/>
          <w:numId w:val="2"/>
        </w:numPr>
        <w:spacing w:after="80" w:line="280"/>
      </w:pPr>
      <w:r>
        <w:rPr>
          <w:color w:val="1F2937"/>
          <w:sz w:val="21"/>
          <w:szCs w:val="21"/>
        </w:rPr>
        <w:t xml:space="preserve">Mise à jour du planning des cours et de la grille tarifaire, sans intervention technique</w:t>
      </w:r>
    </w:p>
    <w:p>
      <w:pPr>
        <w:pStyle w:val="Heading3"/>
        <w:spacing w:after="100" w:before="200"/>
      </w:pPr>
      <w:r>
        <w:rPr>
          <w:b/>
          <w:bCs/>
          <w:i/>
          <w:iCs/>
          <w:color w:val="1F2937"/>
        </w:rPr>
        <w:t xml:space="preserve">Module 5 — Événements</w:t>
      </w:r>
    </w:p>
    <w:p>
      <w:pPr>
        <w:pStyle w:val="ListParagraph"/>
        <w:numPr>
          <w:ilvl w:val="0"/>
          <w:numId w:val="2"/>
        </w:numPr>
        <w:spacing w:after="80" w:line="280"/>
      </w:pPr>
      <w:r>
        <w:rPr>
          <w:color w:val="1F2937"/>
          <w:sz w:val="21"/>
          <w:szCs w:val="21"/>
        </w:rPr>
        <w:t xml:space="preserve">Création d'événements (titre, description, date, lieu, image de couverture)</w:t>
      </w:r>
    </w:p>
    <w:p>
      <w:pPr>
        <w:pStyle w:val="ListParagraph"/>
        <w:numPr>
          <w:ilvl w:val="0"/>
          <w:numId w:val="2"/>
        </w:numPr>
        <w:spacing w:after="80" w:line="280"/>
      </w:pPr>
      <w:r>
        <w:rPr>
          <w:color w:val="1F2937"/>
          <w:sz w:val="21"/>
          <w:szCs w:val="21"/>
        </w:rPr>
        <w:t xml:space="preserve">Galerie photos / vidéos associée à chaque événement</w:t>
      </w:r>
    </w:p>
    <w:p>
      <w:pPr>
        <w:pStyle w:val="ListParagraph"/>
        <w:numPr>
          <w:ilvl w:val="0"/>
          <w:numId w:val="2"/>
        </w:numPr>
        <w:spacing w:after="80" w:line="280"/>
      </w:pPr>
      <w:r>
        <w:rPr>
          <w:color w:val="1F2937"/>
          <w:sz w:val="21"/>
          <w:szCs w:val="21"/>
        </w:rPr>
        <w:t xml:space="preserve">Archivage automatique des événements passés</w:t>
      </w:r>
    </w:p>
    <w:p>
      <w:pPr>
        <w:pStyle w:val="Heading3"/>
        <w:spacing w:after="100" w:before="200"/>
      </w:pPr>
      <w:r>
        <w:rPr>
          <w:b/>
          <w:bCs/>
          <w:i/>
          <w:iCs/>
          <w:color w:val="1F2937"/>
        </w:rPr>
        <w:t xml:space="preserve">Gestion des accès administrateurs</w:t>
      </w:r>
    </w:p>
    <w:p>
      <w:pPr>
        <w:pStyle w:val="ListParagraph"/>
        <w:numPr>
          <w:ilvl w:val="0"/>
          <w:numId w:val="2"/>
        </w:numPr>
        <w:spacing w:after="80" w:line="280"/>
      </w:pPr>
      <w:r>
        <w:rPr>
          <w:color w:val="1F2937"/>
          <w:sz w:val="21"/>
          <w:szCs w:val="21"/>
        </w:rPr>
        <w:t xml:space="preserve">Authentification sécurisée (mot de passe haché)</w:t>
      </w:r>
    </w:p>
    <w:p>
      <w:pPr>
        <w:pStyle w:val="ListParagraph"/>
        <w:numPr>
          <w:ilvl w:val="0"/>
          <w:numId w:val="2"/>
        </w:numPr>
        <w:spacing w:after="80" w:line="280"/>
      </w:pPr>
      <w:r>
        <w:rPr>
          <w:color w:val="1F2937"/>
          <w:sz w:val="21"/>
          <w:szCs w:val="21"/>
        </w:rPr>
        <w:t xml:space="preserve">Gestion de plusieurs comptes administrateurs avec rôles (à définir selon les besoins : administrateur général, gestionnaire de contenu, etc.)</w:t>
      </w:r>
    </w:p>
    <w:p>
      <w:pPr>
        <w:pStyle w:val="ListParagraph"/>
        <w:numPr>
          <w:ilvl w:val="0"/>
          <w:numId w:val="2"/>
        </w:numPr>
        <w:spacing w:after="80" w:line="280"/>
      </w:pPr>
      <w:r>
        <w:rPr>
          <w:color w:val="1F2937"/>
          <w:sz w:val="21"/>
          <w:szCs w:val="21"/>
        </w:rPr>
        <w:t xml:space="preserve">Journal des actions importantes (traçabilité)</w:t>
      </w:r>
    </w:p>
    <w:p>
      <w:r>
        <w:br w:type="page"/>
      </w:r>
    </w:p>
    <w:p>
      <w:pPr>
        <w:pStyle w:val="Heading1"/>
        <w:pBdr>
          <w:bottom w:val="single" w:color="EC4899" w:sz="12" w:space="4"/>
        </w:pBdr>
        <w:spacing w:after="200" w:before="400"/>
      </w:pPr>
      <w:r>
        <w:rPr>
          <w:b/>
          <w:bCs/>
          <w:color w:val="831843"/>
        </w:rPr>
        <w:t xml:space="preserve">6. SPÉCIFICATIONS TECHNIQUES</w:t>
      </w:r>
    </w:p>
    <w:p>
      <w:pPr>
        <w:pStyle w:val="Heading2"/>
        <w:spacing w:after="120" w:before="300"/>
      </w:pPr>
      <w:r>
        <w:rPr>
          <w:b/>
          <w:bCs/>
          <w:color w:val="EC4899"/>
        </w:rPr>
        <w:t xml:space="preserve">6.1 Stack technique retenue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2937" w:val="clear"/>
            <w:tcMar>
              <w:top w:type="dxa" w:w="80"/>
              <w:left w:type="dxa" w:w="100"/>
              <w:bottom w:type="dxa" w:w="80"/>
              <w:right w:type="dxa" w:w="100"/>
            </w:tcMar>
            <w:vAlign w:val="center"/>
          </w:tcPr>
          <w:p>
            <w:pPr>
              <w:jc w:val="center"/>
            </w:pPr>
            <w:r>
              <w:rPr>
                <w:b/>
                <w:bCs/>
                <w:color w:val="FFFFFF"/>
                <w:sz w:val="20"/>
                <w:szCs w:val="20"/>
              </w:rPr>
              <w:t xml:space="preserve">Couche</w:t>
            </w:r>
          </w:p>
        </w:tc>
        <w:tc>
          <w:tcPr>
            <w:tcW w:type="dxa" w:w="6500"/>
            <w:shd w:fill="1F2937" w:val="clear"/>
            <w:tcMar>
              <w:top w:type="dxa" w:w="80"/>
              <w:left w:type="dxa" w:w="100"/>
              <w:bottom w:type="dxa" w:w="80"/>
              <w:right w:type="dxa" w:w="100"/>
            </w:tcMar>
            <w:vAlign w:val="center"/>
          </w:tcPr>
          <w:p>
            <w:pPr>
              <w:jc w:val="center"/>
            </w:pPr>
            <w:r>
              <w:rPr>
                <w:b/>
                <w:bCs/>
                <w:color w:val="FFFFFF"/>
                <w:sz w:val="20"/>
                <w:szCs w:val="20"/>
              </w:rPr>
              <w:t xml:space="preserve">Technologie</w:t>
            </w:r>
          </w:p>
        </w:tc>
      </w:tr>
      <w:tr>
        <w:tc>
          <w:tcPr>
            <w:tcW w:type="dxa" w:w="30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Structure des pages</w:t>
            </w:r>
          </w:p>
        </w:tc>
        <w:tc>
          <w:tcPr>
            <w:tcW w:type="dxa" w:w="65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HTML5 sémantique</w:t>
            </w:r>
          </w:p>
        </w:tc>
      </w:tr>
      <w:tr>
        <w:tc>
          <w:tcPr>
            <w:tcW w:type="dxa" w:w="3000"/>
            <w:shd w:fill="F9FAFB" w:val="clear"/>
            <w:tcMar>
              <w:top w:type="dxa" w:w="80"/>
              <w:left w:type="dxa" w:w="100"/>
              <w:bottom w:type="dxa" w:w="80"/>
              <w:right w:type="dxa" w:w="100"/>
            </w:tcMar>
            <w:vAlign w:val="center"/>
          </w:tcPr>
          <w:p>
            <w:pPr>
              <w:jc w:val="left"/>
            </w:pPr>
            <w:r>
              <w:rPr>
                <w:b w:val="false"/>
                <w:bCs w:val="false"/>
                <w:color w:val="1F2937"/>
                <w:sz w:val="20"/>
                <w:szCs w:val="20"/>
              </w:rPr>
              <w:t xml:space="preserve">Mise en forme</w:t>
            </w:r>
          </w:p>
        </w:tc>
        <w:tc>
          <w:tcPr>
            <w:tcW w:type="dxa" w:w="6500"/>
            <w:shd w:fill="F9FAFB" w:val="clear"/>
            <w:tcMar>
              <w:top w:type="dxa" w:w="80"/>
              <w:left w:type="dxa" w:w="100"/>
              <w:bottom w:type="dxa" w:w="80"/>
              <w:right w:type="dxa" w:w="100"/>
            </w:tcMar>
            <w:vAlign w:val="center"/>
          </w:tcPr>
          <w:p>
            <w:pPr>
              <w:jc w:val="left"/>
            </w:pPr>
            <w:r>
              <w:rPr>
                <w:b w:val="false"/>
                <w:bCs w:val="false"/>
                <w:color w:val="1F2937"/>
                <w:sz w:val="20"/>
                <w:szCs w:val="20"/>
              </w:rPr>
              <w:t xml:space="preserve">CSS3 + Bootstrap 5 (grille responsive, composants)</w:t>
            </w:r>
          </w:p>
        </w:tc>
      </w:tr>
      <w:tr>
        <w:tc>
          <w:tcPr>
            <w:tcW w:type="dxa" w:w="30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Interactivité côté client</w:t>
            </w:r>
          </w:p>
        </w:tc>
        <w:tc>
          <w:tcPr>
            <w:tcW w:type="dxa" w:w="65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JavaScript (ES6+), lecture de fichiers Excel/CSV pour l'import d'élèves</w:t>
            </w:r>
          </w:p>
        </w:tc>
      </w:tr>
      <w:tr>
        <w:tc>
          <w:tcPr>
            <w:tcW w:type="dxa" w:w="3000"/>
            <w:shd w:fill="F9FAFB" w:val="clear"/>
            <w:tcMar>
              <w:top w:type="dxa" w:w="80"/>
              <w:left w:type="dxa" w:w="100"/>
              <w:bottom w:type="dxa" w:w="80"/>
              <w:right w:type="dxa" w:w="100"/>
            </w:tcMar>
            <w:vAlign w:val="center"/>
          </w:tcPr>
          <w:p>
            <w:pPr>
              <w:jc w:val="left"/>
            </w:pPr>
            <w:r>
              <w:rPr>
                <w:b w:val="false"/>
                <w:bCs w:val="false"/>
                <w:color w:val="1F2937"/>
                <w:sz w:val="20"/>
                <w:szCs w:val="20"/>
              </w:rPr>
              <w:t xml:space="preserve">Traitement côté serveur</w:t>
            </w:r>
          </w:p>
        </w:tc>
        <w:tc>
          <w:tcPr>
            <w:tcW w:type="dxa" w:w="6500"/>
            <w:shd w:fill="F9FAFB" w:val="clear"/>
            <w:tcMar>
              <w:top w:type="dxa" w:w="80"/>
              <w:left w:type="dxa" w:w="100"/>
              <w:bottom w:type="dxa" w:w="80"/>
              <w:right w:type="dxa" w:w="100"/>
            </w:tcMar>
            <w:vAlign w:val="center"/>
          </w:tcPr>
          <w:p>
            <w:pPr>
              <w:jc w:val="left"/>
            </w:pPr>
            <w:r>
              <w:rPr>
                <w:b w:val="false"/>
                <w:bCs w:val="false"/>
                <w:color w:val="1F2937"/>
                <w:sz w:val="20"/>
                <w:szCs w:val="20"/>
              </w:rPr>
              <w:t xml:space="preserve">PHP (programmation orientée objet, structure de type MVC)</w:t>
            </w:r>
          </w:p>
        </w:tc>
      </w:tr>
      <w:tr>
        <w:tc>
          <w:tcPr>
            <w:tcW w:type="dxa" w:w="30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Base de données</w:t>
            </w:r>
          </w:p>
        </w:tc>
        <w:tc>
          <w:tcPr>
            <w:tcW w:type="dxa" w:w="65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MySQL / MariaDB</w:t>
            </w:r>
          </w:p>
        </w:tc>
      </w:tr>
      <w:tr>
        <w:tc>
          <w:tcPr>
            <w:tcW w:type="dxa" w:w="3000"/>
            <w:shd w:fill="F9FAFB" w:val="clear"/>
            <w:tcMar>
              <w:top w:type="dxa" w:w="80"/>
              <w:left w:type="dxa" w:w="100"/>
              <w:bottom w:type="dxa" w:w="80"/>
              <w:right w:type="dxa" w:w="100"/>
            </w:tcMar>
            <w:vAlign w:val="center"/>
          </w:tcPr>
          <w:p>
            <w:pPr>
              <w:jc w:val="left"/>
            </w:pPr>
            <w:r>
              <w:rPr>
                <w:b w:val="false"/>
                <w:bCs w:val="false"/>
                <w:color w:val="1F2937"/>
                <w:sz w:val="20"/>
                <w:szCs w:val="20"/>
              </w:rPr>
              <w:t xml:space="preserve">Communication WhatsApp</w:t>
            </w:r>
          </w:p>
        </w:tc>
        <w:tc>
          <w:tcPr>
            <w:tcW w:type="dxa" w:w="6500"/>
            <w:shd w:fill="F9FAFB" w:val="clear"/>
            <w:tcMar>
              <w:top w:type="dxa" w:w="80"/>
              <w:left w:type="dxa" w:w="100"/>
              <w:bottom w:type="dxa" w:w="80"/>
              <w:right w:type="dxa" w:w="100"/>
            </w:tcMar>
            <w:vAlign w:val="center"/>
          </w:tcPr>
          <w:p>
            <w:pPr>
              <w:jc w:val="left"/>
            </w:pPr>
            <w:r>
              <w:rPr>
                <w:b w:val="false"/>
                <w:bCs w:val="false"/>
                <w:color w:val="1F2937"/>
                <w:sz w:val="20"/>
                <w:szCs w:val="20"/>
              </w:rPr>
              <w:t xml:space="preserve">Lien click-to-chat (wa.me) ou API WhatsApp Business selon disponibilité</w:t>
            </w:r>
          </w:p>
        </w:tc>
      </w:tr>
    </w:tbl>
    <w:p>
      <w:pPr>
        <w:spacing w:after="200"/>
      </w:pPr>
    </w:p>
    <w:p>
      <w:pPr>
        <w:pStyle w:val="Heading2"/>
        <w:spacing w:after="120" w:before="300"/>
      </w:pPr>
      <w:r>
        <w:rPr>
          <w:b/>
          <w:bCs/>
          <w:color w:val="EC4899"/>
        </w:rPr>
        <w:t xml:space="preserve">6.2 Architecture</w:t>
      </w:r>
    </w:p>
    <w:p>
      <w:pPr>
        <w:pStyle w:val="ListParagraph"/>
        <w:numPr>
          <w:ilvl w:val="0"/>
          <w:numId w:val="2"/>
        </w:numPr>
        <w:spacing w:after="80" w:line="280"/>
      </w:pPr>
      <w:r>
        <w:rPr>
          <w:color w:val="1F2937"/>
          <w:sz w:val="21"/>
          <w:szCs w:val="21"/>
        </w:rPr>
        <w:t xml:space="preserve">Architecture de type MVC (Modèle – Vue – Contrôleur) pour séparer logique métier, présentation et accès aux données</w:t>
      </w:r>
    </w:p>
    <w:p>
      <w:pPr>
        <w:pStyle w:val="ListParagraph"/>
        <w:numPr>
          <w:ilvl w:val="0"/>
          <w:numId w:val="2"/>
        </w:numPr>
        <w:spacing w:after="80" w:line="280"/>
      </w:pPr>
      <w:r>
        <w:rPr>
          <w:color w:val="1F2937"/>
          <w:sz w:val="21"/>
          <w:szCs w:val="21"/>
        </w:rPr>
        <w:t xml:space="preserve">Base de données relationnelle avec tables dédiées : utilisateurs/administrateurs, élèves/inscriptions, articles de blog, commentaires, épreuves/corrigés, témoignages, résultats, planning, tarifs, événements</w:t>
      </w:r>
    </w:p>
    <w:p>
      <w:pPr>
        <w:pStyle w:val="ListParagraph"/>
        <w:numPr>
          <w:ilvl w:val="0"/>
          <w:numId w:val="2"/>
        </w:numPr>
        <w:spacing w:after="80" w:line="280"/>
      </w:pPr>
      <w:r>
        <w:rPr>
          <w:color w:val="1F2937"/>
          <w:sz w:val="21"/>
          <w:szCs w:val="21"/>
        </w:rPr>
        <w:t xml:space="preserve">Espace public et espace d'administration séparés, avec contrôle d'accès sur toutes les routes de gestion</w:t>
      </w:r>
    </w:p>
    <w:p>
      <w:pPr>
        <w:pStyle w:val="Heading2"/>
        <w:spacing w:after="120" w:before="300"/>
      </w:pPr>
      <w:r>
        <w:rPr>
          <w:b/>
          <w:bCs/>
          <w:color w:val="EC4899"/>
        </w:rPr>
        <w:t xml:space="preserve">6.3 Compatibilité et accessibilité</w:t>
      </w:r>
    </w:p>
    <w:p>
      <w:pPr>
        <w:pStyle w:val="ListParagraph"/>
        <w:numPr>
          <w:ilvl w:val="0"/>
          <w:numId w:val="2"/>
        </w:numPr>
        <w:spacing w:after="80" w:line="280"/>
      </w:pPr>
      <w:r>
        <w:rPr>
          <w:color w:val="1F2937"/>
          <w:sz w:val="21"/>
          <w:szCs w:val="21"/>
        </w:rPr>
        <w:t xml:space="preserve">Site responsive : ordinateur, tablette, smartphone</w:t>
      </w:r>
    </w:p>
    <w:p>
      <w:pPr>
        <w:pStyle w:val="ListParagraph"/>
        <w:numPr>
          <w:ilvl w:val="0"/>
          <w:numId w:val="2"/>
        </w:numPr>
        <w:spacing w:after="80" w:line="280"/>
      </w:pPr>
      <w:r>
        <w:rPr>
          <w:color w:val="1F2937"/>
          <w:sz w:val="21"/>
          <w:szCs w:val="21"/>
        </w:rPr>
        <w:t xml:space="preserve">Compatibilité avec les navigateurs récents (Chrome, Firefox, Edge, Safari)</w:t>
      </w:r>
    </w:p>
    <w:p>
      <w:pPr>
        <w:pStyle w:val="ListParagraph"/>
        <w:numPr>
          <w:ilvl w:val="0"/>
          <w:numId w:val="2"/>
        </w:numPr>
        <w:spacing w:after="80" w:line="280"/>
      </w:pPr>
      <w:r>
        <w:rPr>
          <w:color w:val="1F2937"/>
          <w:sz w:val="21"/>
          <w:szCs w:val="21"/>
        </w:rPr>
        <w:t xml:space="preserve">Attention portée à la vitesse de chargement (images optimisées, mise en cache)</w:t>
      </w:r>
    </w:p>
    <w:p>
      <w:pPr>
        <w:pStyle w:val="ListParagraph"/>
        <w:numPr>
          <w:ilvl w:val="0"/>
          <w:numId w:val="2"/>
        </w:numPr>
        <w:spacing w:after="80" w:line="280"/>
      </w:pPr>
      <w:r>
        <w:rPr>
          <w:color w:val="1F2937"/>
          <w:sz w:val="21"/>
          <w:szCs w:val="21"/>
        </w:rPr>
        <w:t xml:space="preserve">Respect des bonnes pratiques d'accessibilité de base (contrastes, textes alternatifs sur les images)</w:t>
      </w:r>
    </w:p>
    <w:p>
      <w:pPr>
        <w:pStyle w:val="Heading2"/>
        <w:spacing w:after="120" w:before="300"/>
      </w:pPr>
      <w:r>
        <w:rPr>
          <w:b/>
          <w:bCs/>
          <w:color w:val="EC4899"/>
        </w:rPr>
        <w:t xml:space="preserve">6.4 Référencement (SEO)</w:t>
      </w:r>
    </w:p>
    <w:p>
      <w:pPr>
        <w:pStyle w:val="ListParagraph"/>
        <w:numPr>
          <w:ilvl w:val="0"/>
          <w:numId w:val="2"/>
        </w:numPr>
        <w:spacing w:after="80" w:line="280"/>
      </w:pPr>
      <w:r>
        <w:rPr>
          <w:color w:val="1F2937"/>
          <w:sz w:val="21"/>
          <w:szCs w:val="21"/>
        </w:rPr>
        <w:t xml:space="preserve">Structure HTML sémantique favorable au référencement naturel</w:t>
      </w:r>
    </w:p>
    <w:p>
      <w:pPr>
        <w:pStyle w:val="ListParagraph"/>
        <w:numPr>
          <w:ilvl w:val="0"/>
          <w:numId w:val="2"/>
        </w:numPr>
        <w:spacing w:after="80" w:line="280"/>
      </w:pPr>
      <w:r>
        <w:rPr>
          <w:color w:val="1F2937"/>
          <w:sz w:val="21"/>
          <w:szCs w:val="21"/>
        </w:rPr>
        <w:t xml:space="preserve">Balises meta (titre, description) configurables pour chaque page depuis le dashboard</w:t>
      </w:r>
    </w:p>
    <w:p>
      <w:pPr>
        <w:pStyle w:val="ListParagraph"/>
        <w:numPr>
          <w:ilvl w:val="0"/>
          <w:numId w:val="2"/>
        </w:numPr>
        <w:spacing w:after="80" w:line="280"/>
      </w:pPr>
      <w:r>
        <w:rPr>
          <w:color w:val="1F2937"/>
          <w:sz w:val="21"/>
          <w:szCs w:val="21"/>
        </w:rPr>
        <w:t xml:space="preserve">URLs propres et explicites</w:t>
      </w:r>
    </w:p>
    <w:p>
      <w:pPr>
        <w:pStyle w:val="ListParagraph"/>
        <w:numPr>
          <w:ilvl w:val="0"/>
          <w:numId w:val="2"/>
        </w:numPr>
        <w:spacing w:after="80" w:line="280"/>
      </w:pPr>
      <w:r>
        <w:rPr>
          <w:color w:val="1F2937"/>
          <w:sz w:val="21"/>
          <w:szCs w:val="21"/>
        </w:rPr>
        <w:t xml:space="preserve">Génération d'un plan de site (sitemap.xml) et d'un fichier robots.txt</w:t>
      </w:r>
    </w:p>
    <w:p>
      <w:pPr>
        <w:pStyle w:val="Heading2"/>
        <w:spacing w:after="120" w:before="300"/>
      </w:pPr>
      <w:r>
        <w:rPr>
          <w:b/>
          <w:bCs/>
          <w:color w:val="EC4899"/>
        </w:rPr>
        <w:t xml:space="preserve">6.5 Sécurité</w:t>
      </w:r>
    </w:p>
    <w:p>
      <w:pPr>
        <w:pStyle w:val="ListParagraph"/>
        <w:numPr>
          <w:ilvl w:val="0"/>
          <w:numId w:val="2"/>
        </w:numPr>
        <w:spacing w:after="80" w:line="280"/>
      </w:pPr>
      <w:r>
        <w:rPr>
          <w:color w:val="1F2937"/>
          <w:sz w:val="21"/>
          <w:szCs w:val="21"/>
        </w:rPr>
        <w:t xml:space="preserve">Protection contre les injections SQL (requêtes préparées)</w:t>
      </w:r>
    </w:p>
    <w:p>
      <w:pPr>
        <w:pStyle w:val="ListParagraph"/>
        <w:numPr>
          <w:ilvl w:val="0"/>
          <w:numId w:val="2"/>
        </w:numPr>
        <w:spacing w:after="80" w:line="280"/>
      </w:pPr>
      <w:r>
        <w:rPr>
          <w:color w:val="1F2937"/>
          <w:sz w:val="21"/>
          <w:szCs w:val="21"/>
        </w:rPr>
        <w:t xml:space="preserve">Protection contre les failles XSS et CSRF</w:t>
      </w:r>
    </w:p>
    <w:p>
      <w:pPr>
        <w:pStyle w:val="ListParagraph"/>
        <w:numPr>
          <w:ilvl w:val="0"/>
          <w:numId w:val="2"/>
        </w:numPr>
        <w:spacing w:after="80" w:line="280"/>
      </w:pPr>
      <w:r>
        <w:rPr>
          <w:color w:val="1F2937"/>
          <w:sz w:val="21"/>
          <w:szCs w:val="21"/>
        </w:rPr>
        <w:t xml:space="preserve">Mots de passe administrateurs hachés (bcrypt ou équivalent)</w:t>
      </w:r>
    </w:p>
    <w:p>
      <w:pPr>
        <w:pStyle w:val="ListParagraph"/>
        <w:numPr>
          <w:ilvl w:val="0"/>
          <w:numId w:val="2"/>
        </w:numPr>
        <w:spacing w:after="80" w:line="280"/>
      </w:pPr>
      <w:r>
        <w:rPr>
          <w:color w:val="1F2937"/>
          <w:sz w:val="21"/>
          <w:szCs w:val="21"/>
        </w:rPr>
        <w:t xml:space="preserve">Validation des fichiers importés / téléversés (type, taille)</w:t>
      </w:r>
    </w:p>
    <w:p>
      <w:pPr>
        <w:pStyle w:val="ListParagraph"/>
        <w:numPr>
          <w:ilvl w:val="0"/>
          <w:numId w:val="2"/>
        </w:numPr>
        <w:spacing w:after="80" w:line="280"/>
      </w:pPr>
      <w:r>
        <w:rPr>
          <w:color w:val="1F2937"/>
          <w:sz w:val="21"/>
          <w:szCs w:val="21"/>
        </w:rPr>
        <w:t xml:space="preserve">Connexion sécurisée en HTTPS (certificat SSL)</w:t>
      </w:r>
    </w:p>
    <w:p>
      <w:pPr>
        <w:pStyle w:val="ListParagraph"/>
        <w:numPr>
          <w:ilvl w:val="0"/>
          <w:numId w:val="2"/>
        </w:numPr>
        <w:spacing w:after="80" w:line="280"/>
      </w:pPr>
      <w:r>
        <w:rPr>
          <w:color w:val="1F2937"/>
          <w:sz w:val="21"/>
          <w:szCs w:val="21"/>
        </w:rPr>
        <w:t xml:space="preserve">Sauvegardes régulières de la base de données et des fichiers</w:t>
      </w:r>
    </w:p>
    <w:p>
      <w:pPr>
        <w:pStyle w:val="Heading2"/>
        <w:spacing w:after="120" w:before="300"/>
      </w:pPr>
      <w:r>
        <w:rPr>
          <w:b/>
          <w:bCs/>
          <w:color w:val="EC4899"/>
        </w:rPr>
        <w:t xml:space="preserve">6.6 Hébergement et nom de domaine</w:t>
      </w:r>
    </w:p>
    <w:p>
      <w:pPr>
        <w:pStyle w:val="ListParagraph"/>
        <w:numPr>
          <w:ilvl w:val="0"/>
          <w:numId w:val="2"/>
        </w:numPr>
        <w:spacing w:after="80" w:line="280"/>
      </w:pPr>
      <w:r>
        <w:rPr>
          <w:color w:val="1F2937"/>
          <w:sz w:val="21"/>
          <w:szCs w:val="21"/>
        </w:rPr>
        <w:t xml:space="preserve">Hébergement mutualisé ou VPS compatible PHP/MySQL, à souscrire par le client (ou avec accompagnement du prestataire)</w:t>
      </w:r>
    </w:p>
    <w:p>
      <w:pPr>
        <w:pStyle w:val="ListParagraph"/>
        <w:numPr>
          <w:ilvl w:val="0"/>
          <w:numId w:val="2"/>
        </w:numPr>
        <w:spacing w:after="80" w:line="280"/>
      </w:pPr>
      <w:r>
        <w:rPr>
          <w:color w:val="1F2937"/>
          <w:sz w:val="21"/>
          <w:szCs w:val="21"/>
        </w:rPr>
        <w:t xml:space="preserve">Réservation d'un nom de domaine (ex. : schoolforall.cm ou .com)</w:t>
      </w:r>
    </w:p>
    <w:p>
      <w:pPr>
        <w:pStyle w:val="ListParagraph"/>
        <w:numPr>
          <w:ilvl w:val="0"/>
          <w:numId w:val="2"/>
        </w:numPr>
        <w:spacing w:after="80" w:line="280"/>
      </w:pPr>
      <w:r>
        <w:rPr>
          <w:color w:val="1F2937"/>
          <w:sz w:val="21"/>
          <w:szCs w:val="21"/>
        </w:rPr>
        <w:t xml:space="preserve">Mise en place d'adresses e-mail professionnelles liées au domaine, si souhaité</w:t>
      </w:r>
    </w:p>
    <w:p>
      <w:r>
        <w:br w:type="page"/>
      </w:r>
    </w:p>
    <w:p>
      <w:pPr>
        <w:pStyle w:val="Heading1"/>
        <w:pBdr>
          <w:bottom w:val="single" w:color="EC4899" w:sz="12" w:space="4"/>
        </w:pBdr>
        <w:spacing w:after="200" w:before="400"/>
      </w:pPr>
      <w:r>
        <w:rPr>
          <w:b/>
          <w:bCs/>
          <w:color w:val="831843"/>
        </w:rPr>
        <w:t xml:space="preserve">7. MAQUETTES ET CHARTE GRAPHIQUE</w:t>
      </w:r>
    </w:p>
    <w:p>
      <w:pPr>
        <w:spacing w:after="160" w:line="300"/>
      </w:pPr>
      <w:r>
        <w:rPr>
          <w:color w:val="1F2937"/>
          <w:sz w:val="21"/>
          <w:szCs w:val="21"/>
        </w:rPr>
        <w:t xml:space="preserve">Le développement s'appuie sur la maquette fournie par le client (voir aperçu ci-dessous et Annexe 1), qui définit la charte graphique de référence :</w:t>
      </w:r>
    </w:p>
    <w:p>
      <w:pPr>
        <w:pStyle w:val="ListParagraph"/>
        <w:numPr>
          <w:ilvl w:val="0"/>
          <w:numId w:val="2"/>
        </w:numPr>
        <w:spacing w:after="80" w:line="280"/>
      </w:pPr>
      <w:r>
        <w:rPr>
          <w:color w:val="1F2937"/>
          <w:sz w:val="21"/>
          <w:szCs w:val="21"/>
        </w:rPr>
        <w:t xml:space="preserve">Couleur principale : rose / magenta (#EC4899 environ), sur fond blanc</w:t>
      </w:r>
    </w:p>
    <w:p>
      <w:pPr>
        <w:pStyle w:val="ListParagraph"/>
        <w:numPr>
          <w:ilvl w:val="0"/>
          <w:numId w:val="2"/>
        </w:numPr>
        <w:spacing w:after="80" w:line="280"/>
      </w:pPr>
      <w:r>
        <w:rPr>
          <w:color w:val="1F2937"/>
          <w:sz w:val="21"/>
          <w:szCs w:val="21"/>
        </w:rPr>
        <w:t xml:space="preserve">Typographie moderne, titres en gras de grande taille pour le hero</w:t>
      </w:r>
    </w:p>
    <w:p>
      <w:pPr>
        <w:pStyle w:val="ListParagraph"/>
        <w:numPr>
          <w:ilvl w:val="0"/>
          <w:numId w:val="2"/>
        </w:numPr>
        <w:spacing w:after="80" w:line="280"/>
      </w:pPr>
      <w:r>
        <w:rPr>
          <w:color w:val="1F2937"/>
          <w:sz w:val="21"/>
          <w:szCs w:val="21"/>
        </w:rPr>
        <w:t xml:space="preserve">Cartes arrondies avec icônes pour les sections « Pourquoi nous choisir » et « Méthode SCHFL »</w:t>
      </w:r>
    </w:p>
    <w:p>
      <w:pPr>
        <w:pStyle w:val="ListParagraph"/>
        <w:numPr>
          <w:ilvl w:val="0"/>
          <w:numId w:val="2"/>
        </w:numPr>
        <w:spacing w:after="80" w:line="280"/>
      </w:pPr>
      <w:r>
        <w:rPr>
          <w:color w:val="1F2937"/>
          <w:sz w:val="21"/>
          <w:szCs w:val="21"/>
        </w:rPr>
        <w:t xml:space="preserve">Photos d'élèves en tenue SCHOOL FOR ALL pour renforcer l'identité de marque</w:t>
      </w:r>
    </w:p>
    <w:p>
      <w:pPr>
        <w:pStyle w:val="ListParagraph"/>
        <w:numPr>
          <w:ilvl w:val="0"/>
          <w:numId w:val="2"/>
        </w:numPr>
        <w:spacing w:after="80" w:line="280"/>
      </w:pPr>
      <w:r>
        <w:rPr>
          <w:color w:val="1F2937"/>
          <w:sz w:val="21"/>
          <w:szCs w:val="21"/>
        </w:rPr>
        <w:t xml:space="preserve">Pied de page sombre en quatre colonnes (navigation, ressources, orientation, contact)</w:t>
      </w:r>
    </w:p>
    <w:p>
      <w:pPr>
        <w:spacing w:after="100"/>
      </w:pPr>
    </w:p>
    <w:p>
      <w:pPr>
        <w:jc w:val="center"/>
      </w:pPr>
      <w:r>
        <w:drawing>
          <wp:inline distT="0" distB="0" distL="0" distR="0">
            <wp:extent cx="3619500" cy="542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5429250"/>
                    </a:xfrm>
                    <a:prstGeom prst="rect">
                      <a:avLst/>
                    </a:prstGeom>
                  </pic:spPr>
                </pic:pic>
              </a:graphicData>
            </a:graphic>
          </wp:inline>
        </w:drawing>
      </w:r>
    </w:p>
    <w:p>
      <w:pPr>
        <w:spacing w:before="100"/>
        <w:jc w:val="center"/>
      </w:pPr>
      <w:r>
        <w:rPr>
          <w:i/>
          <w:iCs/>
          <w:color w:val="6B7280"/>
          <w:sz w:val="18"/>
          <w:szCs w:val="18"/>
        </w:rPr>
        <w:t xml:space="preserve">Aperçu de la maquette de la page d'accueil fournie par le client</w:t>
      </w:r>
    </w:p>
    <w:p>
      <w:r>
        <w:br w:type="page"/>
      </w:r>
    </w:p>
    <w:p>
      <w:pPr>
        <w:pStyle w:val="Heading1"/>
        <w:pBdr>
          <w:bottom w:val="single" w:color="EC4899" w:sz="12" w:space="4"/>
        </w:pBdr>
        <w:spacing w:after="200" w:before="400"/>
      </w:pPr>
      <w:r>
        <w:rPr>
          <w:b/>
          <w:bCs/>
          <w:color w:val="831843"/>
        </w:rPr>
        <w:t xml:space="preserve">8. LIVRABLES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2937" w:val="clear"/>
            <w:tcMar>
              <w:top w:type="dxa" w:w="80"/>
              <w:left w:type="dxa" w:w="100"/>
              <w:bottom w:type="dxa" w:w="80"/>
              <w:right w:type="dxa" w:w="100"/>
            </w:tcMar>
            <w:vAlign w:val="center"/>
          </w:tcPr>
          <w:p>
            <w:pPr>
              <w:jc w:val="center"/>
            </w:pPr>
            <w:r>
              <w:rPr>
                <w:b/>
                <w:bCs/>
                <w:color w:val="FFFFFF"/>
                <w:sz w:val="20"/>
                <w:szCs w:val="20"/>
              </w:rPr>
              <w:t xml:space="preserve">Livrable</w:t>
            </w:r>
          </w:p>
        </w:tc>
        <w:tc>
          <w:tcPr>
            <w:tcW w:type="dxa" w:w="6700"/>
            <w:shd w:fill="1F2937" w:val="clear"/>
            <w:tcMar>
              <w:top w:type="dxa" w:w="80"/>
              <w:left w:type="dxa" w:w="100"/>
              <w:bottom w:type="dxa" w:w="80"/>
              <w:right w:type="dxa" w:w="100"/>
            </w:tcMar>
            <w:vAlign w:val="center"/>
          </w:tcPr>
          <w:p>
            <w:pPr>
              <w:jc w:val="center"/>
            </w:pPr>
            <w:r>
              <w:rPr>
                <w:b/>
                <w:bCs/>
                <w:color w:val="FFFFFF"/>
                <w:sz w:val="20"/>
                <w:szCs w:val="20"/>
              </w:rPr>
              <w:t xml:space="preserve">Description</w:t>
            </w:r>
          </w:p>
        </w:tc>
      </w:tr>
      <w:tr>
        <w:tc>
          <w:tcPr>
            <w:tcW w:type="dxa" w:w="28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Site web public</w:t>
            </w:r>
          </w:p>
        </w:tc>
        <w:tc>
          <w:tcPr>
            <w:tcW w:type="dxa" w:w="67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Ensemble des 11 rubriques du site, intégrées et fonctionnelles, responsive</w:t>
            </w:r>
          </w:p>
        </w:tc>
      </w:tr>
      <w:tr>
        <w:tc>
          <w:tcPr>
            <w:tcW w:type="dxa" w:w="2800"/>
            <w:shd w:fill="F9FAFB" w:val="clear"/>
            <w:tcMar>
              <w:top w:type="dxa" w:w="80"/>
              <w:left w:type="dxa" w:w="100"/>
              <w:bottom w:type="dxa" w:w="80"/>
              <w:right w:type="dxa" w:w="100"/>
            </w:tcMar>
            <w:vAlign w:val="center"/>
          </w:tcPr>
          <w:p>
            <w:pPr>
              <w:jc w:val="left"/>
            </w:pPr>
            <w:r>
              <w:rPr>
                <w:b w:val="false"/>
                <w:bCs w:val="false"/>
                <w:color w:val="1F2937"/>
                <w:sz w:val="20"/>
                <w:szCs w:val="20"/>
              </w:rPr>
              <w:t xml:space="preserve">Tableau de bord administrateur</w:t>
            </w:r>
          </w:p>
        </w:tc>
        <w:tc>
          <w:tcPr>
            <w:tcW w:type="dxa" w:w="6700"/>
            <w:shd w:fill="F9FAFB" w:val="clear"/>
            <w:tcMar>
              <w:top w:type="dxa" w:w="80"/>
              <w:left w:type="dxa" w:w="100"/>
              <w:bottom w:type="dxa" w:w="80"/>
              <w:right w:type="dxa" w:w="100"/>
            </w:tcMar>
            <w:vAlign w:val="center"/>
          </w:tcPr>
          <w:p>
            <w:pPr>
              <w:jc w:val="left"/>
            </w:pPr>
            <w:r>
              <w:rPr>
                <w:b w:val="false"/>
                <w:bCs w:val="false"/>
                <w:color w:val="1F2937"/>
                <w:sz w:val="20"/>
                <w:szCs w:val="20"/>
              </w:rPr>
              <w:t xml:space="preserve">Interface de gestion du contenu (5 modules détaillés au chapitre 5.3)</w:t>
            </w:r>
          </w:p>
        </w:tc>
      </w:tr>
      <w:tr>
        <w:tc>
          <w:tcPr>
            <w:tcW w:type="dxa" w:w="28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Base de données</w:t>
            </w:r>
          </w:p>
        </w:tc>
        <w:tc>
          <w:tcPr>
            <w:tcW w:type="dxa" w:w="67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Base de données structurée et documentée</w:t>
            </w:r>
          </w:p>
        </w:tc>
      </w:tr>
      <w:tr>
        <w:tc>
          <w:tcPr>
            <w:tcW w:type="dxa" w:w="2800"/>
            <w:shd w:fill="F9FAFB" w:val="clear"/>
            <w:tcMar>
              <w:top w:type="dxa" w:w="80"/>
              <w:left w:type="dxa" w:w="100"/>
              <w:bottom w:type="dxa" w:w="80"/>
              <w:right w:type="dxa" w:w="100"/>
            </w:tcMar>
            <w:vAlign w:val="center"/>
          </w:tcPr>
          <w:p>
            <w:pPr>
              <w:jc w:val="left"/>
            </w:pPr>
            <w:r>
              <w:rPr>
                <w:b w:val="false"/>
                <w:bCs w:val="false"/>
                <w:color w:val="1F2937"/>
                <w:sz w:val="20"/>
                <w:szCs w:val="20"/>
              </w:rPr>
              <w:t xml:space="preserve">Code source</w:t>
            </w:r>
          </w:p>
        </w:tc>
        <w:tc>
          <w:tcPr>
            <w:tcW w:type="dxa" w:w="6700"/>
            <w:shd w:fill="F9FAFB" w:val="clear"/>
            <w:tcMar>
              <w:top w:type="dxa" w:w="80"/>
              <w:left w:type="dxa" w:w="100"/>
              <w:bottom w:type="dxa" w:w="80"/>
              <w:right w:type="dxa" w:w="100"/>
            </w:tcMar>
            <w:vAlign w:val="center"/>
          </w:tcPr>
          <w:p>
            <w:pPr>
              <w:jc w:val="left"/>
            </w:pPr>
            <w:r>
              <w:rPr>
                <w:b w:val="false"/>
                <w:bCs w:val="false"/>
                <w:color w:val="1F2937"/>
                <w:sz w:val="20"/>
                <w:szCs w:val="20"/>
              </w:rPr>
              <w:t xml:space="preserve">Code source complet (HTML/CSS/JS/PHP), commenté et livré sur un dépôt (ou archive) remis au client</w:t>
            </w:r>
          </w:p>
        </w:tc>
      </w:tr>
      <w:tr>
        <w:tc>
          <w:tcPr>
            <w:tcW w:type="dxa" w:w="28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Documentation technique</w:t>
            </w:r>
          </w:p>
        </w:tc>
        <w:tc>
          <w:tcPr>
            <w:tcW w:type="dxa" w:w="67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Documentation de l'architecture et des procédures d'installation / mise à jour</w:t>
            </w:r>
          </w:p>
        </w:tc>
      </w:tr>
      <w:tr>
        <w:tc>
          <w:tcPr>
            <w:tcW w:type="dxa" w:w="2800"/>
            <w:shd w:fill="F9FAFB" w:val="clear"/>
            <w:tcMar>
              <w:top w:type="dxa" w:w="80"/>
              <w:left w:type="dxa" w:w="100"/>
              <w:bottom w:type="dxa" w:w="80"/>
              <w:right w:type="dxa" w:w="100"/>
            </w:tcMar>
            <w:vAlign w:val="center"/>
          </w:tcPr>
          <w:p>
            <w:pPr>
              <w:jc w:val="left"/>
            </w:pPr>
            <w:r>
              <w:rPr>
                <w:b w:val="false"/>
                <w:bCs w:val="false"/>
                <w:color w:val="1F2937"/>
                <w:sz w:val="20"/>
                <w:szCs w:val="20"/>
              </w:rPr>
              <w:t xml:space="preserve">Guide administrateur</w:t>
            </w:r>
          </w:p>
        </w:tc>
        <w:tc>
          <w:tcPr>
            <w:tcW w:type="dxa" w:w="6700"/>
            <w:shd w:fill="F9FAFB" w:val="clear"/>
            <w:tcMar>
              <w:top w:type="dxa" w:w="80"/>
              <w:left w:type="dxa" w:w="100"/>
              <w:bottom w:type="dxa" w:w="80"/>
              <w:right w:type="dxa" w:w="100"/>
            </w:tcMar>
            <w:vAlign w:val="center"/>
          </w:tcPr>
          <w:p>
            <w:pPr>
              <w:jc w:val="left"/>
            </w:pPr>
            <w:r>
              <w:rPr>
                <w:b w:val="false"/>
                <w:bCs w:val="false"/>
                <w:color w:val="1F2937"/>
                <w:sz w:val="20"/>
                <w:szCs w:val="20"/>
              </w:rPr>
              <w:t xml:space="preserve">Manuel d'utilisation du dashboard à destination de l'équipe SCHOOL FOR ALL</w:t>
            </w:r>
          </w:p>
        </w:tc>
      </w:tr>
      <w:tr>
        <w:tc>
          <w:tcPr>
            <w:tcW w:type="dxa" w:w="28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Diagramme de Gantt</w:t>
            </w:r>
          </w:p>
        </w:tc>
        <w:tc>
          <w:tcPr>
            <w:tcW w:type="dxa" w:w="67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Planning détaillé du projet (fichier Excel modifiable, joint séparément)</w:t>
            </w:r>
          </w:p>
        </w:tc>
      </w:tr>
      <w:tr>
        <w:tc>
          <w:tcPr>
            <w:tcW w:type="dxa" w:w="2800"/>
            <w:shd w:fill="F9FAFB" w:val="clear"/>
            <w:tcMar>
              <w:top w:type="dxa" w:w="80"/>
              <w:left w:type="dxa" w:w="100"/>
              <w:bottom w:type="dxa" w:w="80"/>
              <w:right w:type="dxa" w:w="100"/>
            </w:tcMar>
            <w:vAlign w:val="center"/>
          </w:tcPr>
          <w:p>
            <w:pPr>
              <w:jc w:val="left"/>
            </w:pPr>
            <w:r>
              <w:rPr>
                <w:b w:val="false"/>
                <w:bCs w:val="false"/>
                <w:color w:val="1F2937"/>
                <w:sz w:val="20"/>
                <w:szCs w:val="20"/>
              </w:rPr>
              <w:t xml:space="preserve">Formation</w:t>
            </w:r>
          </w:p>
        </w:tc>
        <w:tc>
          <w:tcPr>
            <w:tcW w:type="dxa" w:w="6700"/>
            <w:shd w:fill="F9FAFB" w:val="clear"/>
            <w:tcMar>
              <w:top w:type="dxa" w:w="80"/>
              <w:left w:type="dxa" w:w="100"/>
              <w:bottom w:type="dxa" w:w="80"/>
              <w:right w:type="dxa" w:w="100"/>
            </w:tcMar>
            <w:vAlign w:val="center"/>
          </w:tcPr>
          <w:p>
            <w:pPr>
              <w:jc w:val="left"/>
            </w:pPr>
            <w:r>
              <w:rPr>
                <w:b w:val="false"/>
                <w:bCs w:val="false"/>
                <w:color w:val="1F2937"/>
                <w:sz w:val="20"/>
                <w:szCs w:val="20"/>
              </w:rPr>
              <w:t xml:space="preserve">Session de formation des administrateurs à l'utilisation du dashboard</w:t>
            </w:r>
          </w:p>
        </w:tc>
      </w:tr>
    </w:tbl>
    <w:p>
      <w:r>
        <w:br w:type="page"/>
      </w:r>
    </w:p>
    <w:p>
      <w:pPr>
        <w:pStyle w:val="Heading1"/>
        <w:pBdr>
          <w:bottom w:val="single" w:color="EC4899" w:sz="12" w:space="4"/>
        </w:pBdr>
        <w:spacing w:after="200" w:before="400"/>
      </w:pPr>
      <w:r>
        <w:rPr>
          <w:b/>
          <w:bCs/>
          <w:color w:val="831843"/>
        </w:rPr>
        <w:t xml:space="preserve">9. PLANIFICATION DU PROJET</w:t>
      </w:r>
    </w:p>
    <w:p>
      <w:pPr>
        <w:spacing w:after="160" w:line="300"/>
      </w:pPr>
      <w:r>
        <w:rPr>
          <w:color w:val="1F2937"/>
          <w:sz w:val="21"/>
          <w:szCs w:val="21"/>
        </w:rPr>
        <w:t xml:space="preserve">Le planning détaillé, jalon par jalon, est fourni dans un fichier Excel modifiable et interactif joint à ce cahier des charges (« SCHOOL_FOR_ALL_Diagramme_de_Gantt.xlsx »). Il permet d'ajuster les dates de début et les durées de chaque tâche ; les barres du diagramme et les dates de fin se recalculent alors automatiquement.</w:t>
      </w:r>
    </w:p>
    <w:p>
      <w:pPr>
        <w:spacing w:after="160" w:line="300"/>
      </w:pPr>
      <w:r>
        <w:rPr>
          <w:color w:val="1F2937"/>
          <w:sz w:val="21"/>
          <w:szCs w:val="21"/>
        </w:rPr>
        <w:t xml:space="preserve">Les grandes phases du projet sont résumées ci-dessous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5300"/>
        <w:gridCol w:w="1600"/>
      </w:tblGrid>
      <w:tr>
        <w:trPr>
          <w:tblHeader/>
        </w:trPr>
        <w:tc>
          <w:tcPr>
            <w:tcW w:type="dxa" w:w="2600"/>
            <w:shd w:fill="1F2937" w:val="clear"/>
            <w:tcMar>
              <w:top w:type="dxa" w:w="80"/>
              <w:left w:type="dxa" w:w="100"/>
              <w:bottom w:type="dxa" w:w="80"/>
              <w:right w:type="dxa" w:w="100"/>
            </w:tcMar>
            <w:vAlign w:val="center"/>
          </w:tcPr>
          <w:p>
            <w:pPr>
              <w:jc w:val="center"/>
            </w:pPr>
            <w:r>
              <w:rPr>
                <w:b/>
                <w:bCs/>
                <w:color w:val="FFFFFF"/>
                <w:sz w:val="20"/>
                <w:szCs w:val="20"/>
              </w:rPr>
              <w:t xml:space="preserve">Phase</w:t>
            </w:r>
          </w:p>
        </w:tc>
        <w:tc>
          <w:tcPr>
            <w:tcW w:type="dxa" w:w="5300"/>
            <w:shd w:fill="1F2937" w:val="clear"/>
            <w:tcMar>
              <w:top w:type="dxa" w:w="80"/>
              <w:left w:type="dxa" w:w="100"/>
              <w:bottom w:type="dxa" w:w="80"/>
              <w:right w:type="dxa" w:w="100"/>
            </w:tcMar>
            <w:vAlign w:val="center"/>
          </w:tcPr>
          <w:p>
            <w:pPr>
              <w:jc w:val="center"/>
            </w:pPr>
            <w:r>
              <w:rPr>
                <w:b/>
                <w:bCs/>
                <w:color w:val="FFFFFF"/>
                <w:sz w:val="20"/>
                <w:szCs w:val="20"/>
              </w:rPr>
              <w:t xml:space="preserve">Contenu</w:t>
            </w:r>
          </w:p>
        </w:tc>
        <w:tc>
          <w:tcPr>
            <w:tcW w:type="dxa" w:w="1600"/>
            <w:shd w:fill="1F2937" w:val="clear"/>
            <w:tcMar>
              <w:top w:type="dxa" w:w="80"/>
              <w:left w:type="dxa" w:w="100"/>
              <w:bottom w:type="dxa" w:w="80"/>
              <w:right w:type="dxa" w:w="100"/>
            </w:tcMar>
            <w:vAlign w:val="center"/>
          </w:tcPr>
          <w:p>
            <w:pPr>
              <w:jc w:val="center"/>
            </w:pPr>
            <w:r>
              <w:rPr>
                <w:b/>
                <w:bCs/>
                <w:color w:val="FFFFFF"/>
                <w:sz w:val="20"/>
                <w:szCs w:val="20"/>
              </w:rPr>
              <w:t xml:space="preserve">Durée indicative</w:t>
            </w:r>
          </w:p>
        </w:tc>
      </w:tr>
      <w:tr>
        <w:tc>
          <w:tcPr>
            <w:tcW w:type="dxa" w:w="26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1. Cadrage et spécifications</w:t>
            </w:r>
          </w:p>
        </w:tc>
        <w:tc>
          <w:tcPr>
            <w:tcW w:type="dxa" w:w="53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Validation du cahier des charges, analyse fonctionnelle, choix d'architecture</w:t>
            </w:r>
          </w:p>
        </w:tc>
        <w:tc>
          <w:tcPr>
            <w:tcW w:type="dxa" w:w="16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 2 semaines</w:t>
            </w:r>
          </w:p>
        </w:tc>
      </w:tr>
      <w:tr>
        <w:tc>
          <w:tcPr>
            <w:tcW w:type="dxa" w:w="2600"/>
            <w:shd w:fill="F9FAFB" w:val="clear"/>
            <w:tcMar>
              <w:top w:type="dxa" w:w="80"/>
              <w:left w:type="dxa" w:w="100"/>
              <w:bottom w:type="dxa" w:w="80"/>
              <w:right w:type="dxa" w:w="100"/>
            </w:tcMar>
            <w:vAlign w:val="center"/>
          </w:tcPr>
          <w:p>
            <w:pPr>
              <w:jc w:val="left"/>
            </w:pPr>
            <w:r>
              <w:rPr>
                <w:b w:val="false"/>
                <w:bCs w:val="false"/>
                <w:color w:val="1F2937"/>
                <w:sz w:val="20"/>
                <w:szCs w:val="20"/>
              </w:rPr>
              <w:t xml:space="preserve">2. Conception UI/UX</w:t>
            </w:r>
          </w:p>
        </w:tc>
        <w:tc>
          <w:tcPr>
            <w:tcW w:type="dxa" w:w="5300"/>
            <w:shd w:fill="F9FAFB" w:val="clear"/>
            <w:tcMar>
              <w:top w:type="dxa" w:w="80"/>
              <w:left w:type="dxa" w:w="100"/>
              <w:bottom w:type="dxa" w:w="80"/>
              <w:right w:type="dxa" w:w="100"/>
            </w:tcMar>
            <w:vAlign w:val="center"/>
          </w:tcPr>
          <w:p>
            <w:pPr>
              <w:jc w:val="left"/>
            </w:pPr>
            <w:r>
              <w:rPr>
                <w:b w:val="false"/>
                <w:bCs w:val="false"/>
                <w:color w:val="1F2937"/>
                <w:sz w:val="20"/>
                <w:szCs w:val="20"/>
              </w:rPr>
              <w:t xml:space="preserve">Adaptation de la maquette, conception des pages du dashboard, charte graphique</w:t>
            </w:r>
          </w:p>
        </w:tc>
        <w:tc>
          <w:tcPr>
            <w:tcW w:type="dxa" w:w="1600"/>
            <w:shd w:fill="F9FAFB" w:val="clear"/>
            <w:tcMar>
              <w:top w:type="dxa" w:w="80"/>
              <w:left w:type="dxa" w:w="100"/>
              <w:bottom w:type="dxa" w:w="80"/>
              <w:right w:type="dxa" w:w="100"/>
            </w:tcMar>
            <w:vAlign w:val="center"/>
          </w:tcPr>
          <w:p>
            <w:pPr>
              <w:jc w:val="left"/>
            </w:pPr>
            <w:r>
              <w:rPr>
                <w:b w:val="false"/>
                <w:bCs w:val="false"/>
                <w:color w:val="1F2937"/>
                <w:sz w:val="20"/>
                <w:szCs w:val="20"/>
              </w:rPr>
              <w:t xml:space="preserve">≈ 2 semaines</w:t>
            </w:r>
          </w:p>
        </w:tc>
      </w:tr>
      <w:tr>
        <w:tc>
          <w:tcPr>
            <w:tcW w:type="dxa" w:w="26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3. Conception base de données</w:t>
            </w:r>
          </w:p>
        </w:tc>
        <w:tc>
          <w:tcPr>
            <w:tcW w:type="dxa" w:w="53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Modélisation et architecture technique</w:t>
            </w:r>
          </w:p>
        </w:tc>
        <w:tc>
          <w:tcPr>
            <w:tcW w:type="dxa" w:w="16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 1 semaine</w:t>
            </w:r>
          </w:p>
        </w:tc>
      </w:tr>
      <w:tr>
        <w:tc>
          <w:tcPr>
            <w:tcW w:type="dxa" w:w="2600"/>
            <w:shd w:fill="F9FAFB" w:val="clear"/>
            <w:tcMar>
              <w:top w:type="dxa" w:w="80"/>
              <w:left w:type="dxa" w:w="100"/>
              <w:bottom w:type="dxa" w:w="80"/>
              <w:right w:type="dxa" w:w="100"/>
            </w:tcMar>
            <w:vAlign w:val="center"/>
          </w:tcPr>
          <w:p>
            <w:pPr>
              <w:jc w:val="left"/>
            </w:pPr>
            <w:r>
              <w:rPr>
                <w:b w:val="false"/>
                <w:bCs w:val="false"/>
                <w:color w:val="1F2937"/>
                <w:sz w:val="20"/>
                <w:szCs w:val="20"/>
              </w:rPr>
              <w:t xml:space="preserve">4. Développement Frontend</w:t>
            </w:r>
          </w:p>
        </w:tc>
        <w:tc>
          <w:tcPr>
            <w:tcW w:type="dxa" w:w="5300"/>
            <w:shd w:fill="F9FAFB" w:val="clear"/>
            <w:tcMar>
              <w:top w:type="dxa" w:w="80"/>
              <w:left w:type="dxa" w:w="100"/>
              <w:bottom w:type="dxa" w:w="80"/>
              <w:right w:type="dxa" w:w="100"/>
            </w:tcMar>
            <w:vAlign w:val="center"/>
          </w:tcPr>
          <w:p>
            <w:pPr>
              <w:jc w:val="left"/>
            </w:pPr>
            <w:r>
              <w:rPr>
                <w:b w:val="false"/>
                <w:bCs w:val="false"/>
                <w:color w:val="1F2937"/>
                <w:sz w:val="20"/>
                <w:szCs w:val="20"/>
              </w:rPr>
              <w:t xml:space="preserve">Intégration de toutes les pages publiques (HTML/CSS/Bootstrap 5/JS)</w:t>
            </w:r>
          </w:p>
        </w:tc>
        <w:tc>
          <w:tcPr>
            <w:tcW w:type="dxa" w:w="1600"/>
            <w:shd w:fill="F9FAFB" w:val="clear"/>
            <w:tcMar>
              <w:top w:type="dxa" w:w="80"/>
              <w:left w:type="dxa" w:w="100"/>
              <w:bottom w:type="dxa" w:w="80"/>
              <w:right w:type="dxa" w:w="100"/>
            </w:tcMar>
            <w:vAlign w:val="center"/>
          </w:tcPr>
          <w:p>
            <w:pPr>
              <w:jc w:val="left"/>
            </w:pPr>
            <w:r>
              <w:rPr>
                <w:b w:val="false"/>
                <w:bCs w:val="false"/>
                <w:color w:val="1F2937"/>
                <w:sz w:val="20"/>
                <w:szCs w:val="20"/>
              </w:rPr>
              <w:t xml:space="preserve">≈ 4 semaines</w:t>
            </w:r>
          </w:p>
        </w:tc>
      </w:tr>
      <w:tr>
        <w:tc>
          <w:tcPr>
            <w:tcW w:type="dxa" w:w="26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5. Développement Backend</w:t>
            </w:r>
          </w:p>
        </w:tc>
        <w:tc>
          <w:tcPr>
            <w:tcW w:type="dxa" w:w="53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Site vitrine dynamique, formulaire d'inscription, envoi WhatsApp</w:t>
            </w:r>
          </w:p>
        </w:tc>
        <w:tc>
          <w:tcPr>
            <w:tcW w:type="dxa" w:w="16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 3 semaines</w:t>
            </w:r>
          </w:p>
        </w:tc>
      </w:tr>
      <w:tr>
        <w:tc>
          <w:tcPr>
            <w:tcW w:type="dxa" w:w="2600"/>
            <w:shd w:fill="F9FAFB" w:val="clear"/>
            <w:tcMar>
              <w:top w:type="dxa" w:w="80"/>
              <w:left w:type="dxa" w:w="100"/>
              <w:bottom w:type="dxa" w:w="80"/>
              <w:right w:type="dxa" w:w="100"/>
            </w:tcMar>
            <w:vAlign w:val="center"/>
          </w:tcPr>
          <w:p>
            <w:pPr>
              <w:jc w:val="left"/>
            </w:pPr>
            <w:r>
              <w:rPr>
                <w:b w:val="false"/>
                <w:bCs w:val="false"/>
                <w:color w:val="1F2937"/>
                <w:sz w:val="20"/>
                <w:szCs w:val="20"/>
              </w:rPr>
              <w:t xml:space="preserve">6. Dashboard administrateur</w:t>
            </w:r>
          </w:p>
        </w:tc>
        <w:tc>
          <w:tcPr>
            <w:tcW w:type="dxa" w:w="5300"/>
            <w:shd w:fill="F9FAFB" w:val="clear"/>
            <w:tcMar>
              <w:top w:type="dxa" w:w="80"/>
              <w:left w:type="dxa" w:w="100"/>
              <w:bottom w:type="dxa" w:w="80"/>
              <w:right w:type="dxa" w:w="100"/>
            </w:tcMar>
            <w:vAlign w:val="center"/>
          </w:tcPr>
          <w:p>
            <w:pPr>
              <w:jc w:val="left"/>
            </w:pPr>
            <w:r>
              <w:rPr>
                <w:b w:val="false"/>
                <w:bCs w:val="false"/>
                <w:color w:val="1F2937"/>
                <w:sz w:val="20"/>
                <w:szCs w:val="20"/>
              </w:rPr>
              <w:t xml:space="preserve">Les 5 modules d'administration</w:t>
            </w:r>
          </w:p>
        </w:tc>
        <w:tc>
          <w:tcPr>
            <w:tcW w:type="dxa" w:w="1600"/>
            <w:shd w:fill="F9FAFB" w:val="clear"/>
            <w:tcMar>
              <w:top w:type="dxa" w:w="80"/>
              <w:left w:type="dxa" w:w="100"/>
              <w:bottom w:type="dxa" w:w="80"/>
              <w:right w:type="dxa" w:w="100"/>
            </w:tcMar>
            <w:vAlign w:val="center"/>
          </w:tcPr>
          <w:p>
            <w:pPr>
              <w:jc w:val="left"/>
            </w:pPr>
            <w:r>
              <w:rPr>
                <w:b w:val="false"/>
                <w:bCs w:val="false"/>
                <w:color w:val="1F2937"/>
                <w:sz w:val="20"/>
                <w:szCs w:val="20"/>
              </w:rPr>
              <w:t xml:space="preserve">≈ 5 semaines</w:t>
            </w:r>
          </w:p>
        </w:tc>
      </w:tr>
      <w:tr>
        <w:tc>
          <w:tcPr>
            <w:tcW w:type="dxa" w:w="26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7. Intégrations transversales</w:t>
            </w:r>
          </w:p>
        </w:tc>
        <w:tc>
          <w:tcPr>
            <w:tcW w:type="dxa" w:w="53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API WhatsApp, interactions blog, génération PDF</w:t>
            </w:r>
          </w:p>
        </w:tc>
        <w:tc>
          <w:tcPr>
            <w:tcW w:type="dxa" w:w="16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 2 semaines</w:t>
            </w:r>
          </w:p>
        </w:tc>
      </w:tr>
      <w:tr>
        <w:tc>
          <w:tcPr>
            <w:tcW w:type="dxa" w:w="2600"/>
            <w:shd w:fill="F9FAFB" w:val="clear"/>
            <w:tcMar>
              <w:top w:type="dxa" w:w="80"/>
              <w:left w:type="dxa" w:w="100"/>
              <w:bottom w:type="dxa" w:w="80"/>
              <w:right w:type="dxa" w:w="100"/>
            </w:tcMar>
            <w:vAlign w:val="center"/>
          </w:tcPr>
          <w:p>
            <w:pPr>
              <w:jc w:val="left"/>
            </w:pPr>
            <w:r>
              <w:rPr>
                <w:b w:val="false"/>
                <w:bCs w:val="false"/>
                <w:color w:val="1F2937"/>
                <w:sz w:val="20"/>
                <w:szCs w:val="20"/>
              </w:rPr>
              <w:t xml:space="preserve">8. Tests et recette</w:t>
            </w:r>
          </w:p>
        </w:tc>
        <w:tc>
          <w:tcPr>
            <w:tcW w:type="dxa" w:w="5300"/>
            <w:shd w:fill="F9FAFB" w:val="clear"/>
            <w:tcMar>
              <w:top w:type="dxa" w:w="80"/>
              <w:left w:type="dxa" w:w="100"/>
              <w:bottom w:type="dxa" w:w="80"/>
              <w:right w:type="dxa" w:w="100"/>
            </w:tcMar>
            <w:vAlign w:val="center"/>
          </w:tcPr>
          <w:p>
            <w:pPr>
              <w:jc w:val="left"/>
            </w:pPr>
            <w:r>
              <w:rPr>
                <w:b w:val="false"/>
                <w:bCs w:val="false"/>
                <w:color w:val="1F2937"/>
                <w:sz w:val="20"/>
                <w:szCs w:val="20"/>
              </w:rPr>
              <w:t xml:space="preserve">Tests fonctionnels, responsive, corrections, recette client</w:t>
            </w:r>
          </w:p>
        </w:tc>
        <w:tc>
          <w:tcPr>
            <w:tcW w:type="dxa" w:w="1600"/>
            <w:shd w:fill="F9FAFB" w:val="clear"/>
            <w:tcMar>
              <w:top w:type="dxa" w:w="80"/>
              <w:left w:type="dxa" w:w="100"/>
              <w:bottom w:type="dxa" w:w="80"/>
              <w:right w:type="dxa" w:w="100"/>
            </w:tcMar>
            <w:vAlign w:val="center"/>
          </w:tcPr>
          <w:p>
            <w:pPr>
              <w:jc w:val="left"/>
            </w:pPr>
            <w:r>
              <w:rPr>
                <w:b w:val="false"/>
                <w:bCs w:val="false"/>
                <w:color w:val="1F2937"/>
                <w:sz w:val="20"/>
                <w:szCs w:val="20"/>
              </w:rPr>
              <w:t xml:space="preserve">≈ 3 semaines</w:t>
            </w:r>
          </w:p>
        </w:tc>
      </w:tr>
      <w:tr>
        <w:tc>
          <w:tcPr>
            <w:tcW w:type="dxa" w:w="26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9. Déploiement</w:t>
            </w:r>
          </w:p>
        </w:tc>
        <w:tc>
          <w:tcPr>
            <w:tcW w:type="dxa" w:w="53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Hébergement, mise en production, tests post-déploiement</w:t>
            </w:r>
          </w:p>
        </w:tc>
        <w:tc>
          <w:tcPr>
            <w:tcW w:type="dxa" w:w="16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 1 semaine</w:t>
            </w:r>
          </w:p>
        </w:tc>
      </w:tr>
      <w:tr>
        <w:tc>
          <w:tcPr>
            <w:tcW w:type="dxa" w:w="2600"/>
            <w:shd w:fill="F9FAFB" w:val="clear"/>
            <w:tcMar>
              <w:top w:type="dxa" w:w="80"/>
              <w:left w:type="dxa" w:w="100"/>
              <w:bottom w:type="dxa" w:w="80"/>
              <w:right w:type="dxa" w:w="100"/>
            </w:tcMar>
            <w:vAlign w:val="center"/>
          </w:tcPr>
          <w:p>
            <w:pPr>
              <w:jc w:val="left"/>
            </w:pPr>
            <w:r>
              <w:rPr>
                <w:b w:val="false"/>
                <w:bCs w:val="false"/>
                <w:color w:val="1F2937"/>
                <w:sz w:val="20"/>
                <w:szCs w:val="20"/>
              </w:rPr>
              <w:t xml:space="preserve">10. Formation &amp; documentation</w:t>
            </w:r>
          </w:p>
        </w:tc>
        <w:tc>
          <w:tcPr>
            <w:tcW w:type="dxa" w:w="5300"/>
            <w:shd w:fill="F9FAFB" w:val="clear"/>
            <w:tcMar>
              <w:top w:type="dxa" w:w="80"/>
              <w:left w:type="dxa" w:w="100"/>
              <w:bottom w:type="dxa" w:w="80"/>
              <w:right w:type="dxa" w:w="100"/>
            </w:tcMar>
            <w:vAlign w:val="center"/>
          </w:tcPr>
          <w:p>
            <w:pPr>
              <w:jc w:val="left"/>
            </w:pPr>
            <w:r>
              <w:rPr>
                <w:b w:val="false"/>
                <w:bCs w:val="false"/>
                <w:color w:val="1F2937"/>
                <w:sz w:val="20"/>
                <w:szCs w:val="20"/>
              </w:rPr>
              <w:t xml:space="preserve">Formation des administrateurs, documentation utilisateur</w:t>
            </w:r>
          </w:p>
        </w:tc>
        <w:tc>
          <w:tcPr>
            <w:tcW w:type="dxa" w:w="1600"/>
            <w:shd w:fill="F9FAFB" w:val="clear"/>
            <w:tcMar>
              <w:top w:type="dxa" w:w="80"/>
              <w:left w:type="dxa" w:w="100"/>
              <w:bottom w:type="dxa" w:w="80"/>
              <w:right w:type="dxa" w:w="100"/>
            </w:tcMar>
            <w:vAlign w:val="center"/>
          </w:tcPr>
          <w:p>
            <w:pPr>
              <w:jc w:val="left"/>
            </w:pPr>
            <w:r>
              <w:rPr>
                <w:b w:val="false"/>
                <w:bCs w:val="false"/>
                <w:color w:val="1F2937"/>
                <w:sz w:val="20"/>
                <w:szCs w:val="20"/>
              </w:rPr>
              <w:t xml:space="preserve">≈ 1 semaine</w:t>
            </w:r>
          </w:p>
        </w:tc>
      </w:tr>
      <w:tr>
        <w:tc>
          <w:tcPr>
            <w:tcW w:type="dxa" w:w="26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11. Support post-lancement</w:t>
            </w:r>
          </w:p>
        </w:tc>
        <w:tc>
          <w:tcPr>
            <w:tcW w:type="dxa" w:w="53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Période de garantie et de corrections</w:t>
            </w:r>
          </w:p>
        </w:tc>
        <w:tc>
          <w:tcPr>
            <w:tcW w:type="dxa" w:w="16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 2 semaines</w:t>
            </w:r>
          </w:p>
        </w:tc>
      </w:tr>
    </w:tbl>
    <w:p>
      <w:pPr>
        <w:spacing w:after="150"/>
      </w:pPr>
    </w:p>
    <w:p>
      <w:pPr>
        <w:spacing w:after="160" w:line="300"/>
      </w:pPr>
      <w:r>
        <w:rPr>
          <w:color w:val="1F2937"/>
          <w:sz w:val="21"/>
          <w:szCs w:val="21"/>
        </w:rPr>
        <w:t xml:space="preserve">Durée totale estimée du projet : environ 14 à 15 semaines (~3,5 mois), hors période de garantie, à partir de la date de validation définitive du présent cahier des charges. Certaines phases sont volontairement menées en parallèle (chevauchement des équipes frontend/backend/dashboard) afin d'optimiser les délais.</w:t>
      </w:r>
    </w:p>
    <w:p>
      <w:r>
        <w:br w:type="page"/>
      </w:r>
    </w:p>
    <w:p>
      <w:pPr>
        <w:pStyle w:val="Heading1"/>
        <w:pBdr>
          <w:bottom w:val="single" w:color="EC4899" w:sz="12" w:space="4"/>
        </w:pBdr>
        <w:spacing w:after="200" w:before="400"/>
      </w:pPr>
      <w:r>
        <w:rPr>
          <w:b/>
          <w:bCs/>
          <w:color w:val="831843"/>
        </w:rPr>
        <w:t xml:space="preserve">10. RÔLES ET RESPONSABILITÉS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2937" w:val="clear"/>
            <w:tcMar>
              <w:top w:type="dxa" w:w="80"/>
              <w:left w:type="dxa" w:w="100"/>
              <w:bottom w:type="dxa" w:w="80"/>
              <w:right w:type="dxa" w:w="100"/>
            </w:tcMar>
            <w:vAlign w:val="center"/>
          </w:tcPr>
          <w:p>
            <w:pPr>
              <w:jc w:val="center"/>
            </w:pPr>
            <w:r>
              <w:rPr>
                <w:b/>
                <w:bCs/>
                <w:color w:val="FFFFFF"/>
                <w:sz w:val="20"/>
                <w:szCs w:val="20"/>
              </w:rPr>
              <w:t xml:space="preserve">Partie</w:t>
            </w:r>
          </w:p>
        </w:tc>
        <w:tc>
          <w:tcPr>
            <w:tcW w:type="dxa" w:w="6500"/>
            <w:shd w:fill="1F2937" w:val="clear"/>
            <w:tcMar>
              <w:top w:type="dxa" w:w="80"/>
              <w:left w:type="dxa" w:w="100"/>
              <w:bottom w:type="dxa" w:w="80"/>
              <w:right w:type="dxa" w:w="100"/>
            </w:tcMar>
            <w:vAlign w:val="center"/>
          </w:tcPr>
          <w:p>
            <w:pPr>
              <w:jc w:val="center"/>
            </w:pPr>
            <w:r>
              <w:rPr>
                <w:b/>
                <w:bCs/>
                <w:color w:val="FFFFFF"/>
                <w:sz w:val="20"/>
                <w:szCs w:val="20"/>
              </w:rPr>
              <w:t xml:space="preserve">Responsabilités</w:t>
            </w:r>
          </w:p>
        </w:tc>
      </w:tr>
      <w:tr>
        <w:tc>
          <w:tcPr>
            <w:tcW w:type="dxa" w:w="30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Client (SCHOOL FOR ALL)</w:t>
            </w:r>
          </w:p>
        </w:tc>
        <w:tc>
          <w:tcPr>
            <w:tcW w:type="dxa" w:w="65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Validation du cahier des charges et des maquettes, fourniture des contenus (textes, photos, logo, coordonnées), validation des livrables à chaque étape, souscription de l'hébergement et du nom de domaine, désignation d'un référent projet</w:t>
            </w:r>
          </w:p>
        </w:tc>
      </w:tr>
      <w:tr>
        <w:tc>
          <w:tcPr>
            <w:tcW w:type="dxa" w:w="3000"/>
            <w:shd w:fill="F9FAFB" w:val="clear"/>
            <w:tcMar>
              <w:top w:type="dxa" w:w="80"/>
              <w:left w:type="dxa" w:w="100"/>
              <w:bottom w:type="dxa" w:w="80"/>
              <w:right w:type="dxa" w:w="100"/>
            </w:tcMar>
            <w:vAlign w:val="center"/>
          </w:tcPr>
          <w:p>
            <w:pPr>
              <w:jc w:val="left"/>
            </w:pPr>
            <w:r>
              <w:rPr>
                <w:b w:val="false"/>
                <w:bCs w:val="false"/>
                <w:color w:val="1F2937"/>
                <w:sz w:val="20"/>
                <w:szCs w:val="20"/>
              </w:rPr>
              <w:t xml:space="preserve">Prestataire / équipe de développement</w:t>
            </w:r>
          </w:p>
        </w:tc>
        <w:tc>
          <w:tcPr>
            <w:tcW w:type="dxa" w:w="6500"/>
            <w:shd w:fill="F9FAFB" w:val="clear"/>
            <w:tcMar>
              <w:top w:type="dxa" w:w="80"/>
              <w:left w:type="dxa" w:w="100"/>
              <w:bottom w:type="dxa" w:w="80"/>
              <w:right w:type="dxa" w:w="100"/>
            </w:tcMar>
            <w:vAlign w:val="center"/>
          </w:tcPr>
          <w:p>
            <w:pPr>
              <w:jc w:val="left"/>
            </w:pPr>
            <w:r>
              <w:rPr>
                <w:b w:val="false"/>
                <w:bCs w:val="false"/>
                <w:color w:val="1F2937"/>
                <w:sz w:val="20"/>
                <w:szCs w:val="20"/>
              </w:rPr>
              <w:t xml:space="preserve">Conception, développement, tests, déploiement du site, rédaction de la documentation, formation des administrateurs, respect du planning et de la charte graphique validée</w:t>
            </w:r>
          </w:p>
        </w:tc>
      </w:tr>
    </w:tbl>
    <w:p>
      <w:r>
        <w:br w:type="page"/>
      </w:r>
    </w:p>
    <w:p>
      <w:pPr>
        <w:pStyle w:val="Heading1"/>
        <w:pBdr>
          <w:bottom w:val="single" w:color="EC4899" w:sz="12" w:space="4"/>
        </w:pBdr>
        <w:spacing w:after="200" w:before="400"/>
      </w:pPr>
      <w:r>
        <w:rPr>
          <w:b/>
          <w:bCs/>
          <w:color w:val="831843"/>
        </w:rPr>
        <w:t xml:space="preserve">11. MODALITÉS DE RECETTE ET DE VALIDATION</w:t>
      </w:r>
    </w:p>
    <w:p>
      <w:pPr>
        <w:spacing w:after="160" w:line="300"/>
      </w:pPr>
      <w:r>
        <w:rPr>
          <w:color w:val="1F2937"/>
          <w:sz w:val="21"/>
          <w:szCs w:val="21"/>
        </w:rPr>
        <w:t xml:space="preserve">La recette du site se déroule en plusieurs étapes :</w:t>
      </w:r>
    </w:p>
    <w:p>
      <w:pPr>
        <w:pStyle w:val="ListParagraph"/>
        <w:numPr>
          <w:ilvl w:val="0"/>
          <w:numId w:val="3"/>
        </w:numPr>
        <w:spacing w:after="80" w:line="280"/>
      </w:pPr>
      <w:r>
        <w:rPr>
          <w:color w:val="1F2937"/>
          <w:sz w:val="21"/>
          <w:szCs w:val="21"/>
        </w:rPr>
        <w:t xml:space="preserve">Recette technique interne : vérification du bon fonctionnement de toutes les fonctionnalités par l'équipe de développement</w:t>
      </w:r>
    </w:p>
    <w:p>
      <w:pPr>
        <w:pStyle w:val="ListParagraph"/>
        <w:numPr>
          <w:ilvl w:val="0"/>
          <w:numId w:val="3"/>
        </w:numPr>
        <w:spacing w:after="80" w:line="280"/>
      </w:pPr>
      <w:r>
        <w:rPr>
          <w:color w:val="1F2937"/>
          <w:sz w:val="21"/>
          <w:szCs w:val="21"/>
        </w:rPr>
        <w:t xml:space="preserve">Recette fonctionnelle client : mise à disposition d'un environnement de test (préproduction) permettant au client de vérifier chaque fonctionnalité par rapport au présent cahier des charges</w:t>
      </w:r>
    </w:p>
    <w:p>
      <w:pPr>
        <w:pStyle w:val="ListParagraph"/>
        <w:numPr>
          <w:ilvl w:val="0"/>
          <w:numId w:val="3"/>
        </w:numPr>
        <w:spacing w:after="80" w:line="280"/>
      </w:pPr>
      <w:r>
        <w:rPr>
          <w:color w:val="1F2937"/>
          <w:sz w:val="21"/>
          <w:szCs w:val="21"/>
        </w:rPr>
        <w:t xml:space="preserve">Recueil des anomalies : le client consigne les anomalies constatées ; le prestataire les corrige dans un délai à convenir</w:t>
      </w:r>
    </w:p>
    <w:p>
      <w:pPr>
        <w:pStyle w:val="ListParagraph"/>
        <w:numPr>
          <w:ilvl w:val="0"/>
          <w:numId w:val="3"/>
        </w:numPr>
        <w:spacing w:after="80" w:line="280"/>
      </w:pPr>
      <w:r>
        <w:rPr>
          <w:color w:val="1F2937"/>
          <w:sz w:val="21"/>
          <w:szCs w:val="21"/>
        </w:rPr>
        <w:t xml:space="preserve">Validation finale et mise en production : signature d'un procès-verbal de recette avant la mise en ligne officielle du site</w:t>
      </w:r>
    </w:p>
    <w:p>
      <w:pPr>
        <w:spacing w:after="160" w:line="300"/>
      </w:pPr>
      <w:r>
        <w:rPr>
          <w:color w:val="1F2937"/>
          <w:sz w:val="21"/>
          <w:szCs w:val="21"/>
        </w:rPr>
        <w:t xml:space="preserve">Toute évolution fonctionnelle demandée après validation du cahier des charges et non prévue dans le présent document sera considérée comme une demande de développement complémentaire, faisant l'objet d'un chiffrage et d'un délai spécifiques.</w:t>
      </w:r>
    </w:p>
    <w:p>
      <w:r>
        <w:br w:type="page"/>
      </w:r>
    </w:p>
    <w:p>
      <w:pPr>
        <w:pStyle w:val="Heading1"/>
        <w:pBdr>
          <w:bottom w:val="single" w:color="EC4899" w:sz="12" w:space="4"/>
        </w:pBdr>
        <w:spacing w:after="200" w:before="400"/>
      </w:pPr>
      <w:r>
        <w:rPr>
          <w:b/>
          <w:bCs/>
          <w:color w:val="831843"/>
        </w:rPr>
        <w:t xml:space="preserve">12. MAINTENANCE ET ÉVOLUTIONS FUTURES</w:t>
      </w:r>
    </w:p>
    <w:p>
      <w:pPr>
        <w:pStyle w:val="Heading2"/>
        <w:spacing w:after="120" w:before="300"/>
      </w:pPr>
      <w:r>
        <w:rPr>
          <w:b/>
          <w:bCs/>
          <w:color w:val="EC4899"/>
        </w:rPr>
        <w:t xml:space="preserve">12.1 Garantie post-lancement</w:t>
      </w:r>
    </w:p>
    <w:p>
      <w:pPr>
        <w:spacing w:after="160" w:line="300"/>
      </w:pPr>
      <w:r>
        <w:rPr>
          <w:color w:val="1F2937"/>
          <w:sz w:val="21"/>
          <w:szCs w:val="21"/>
        </w:rPr>
        <w:t xml:space="preserve">Une période de garantie (proposée à 2 semaines dans le planning, ajustable selon l'accord final) permet de corriger gratuitement tout dysfonctionnement lié au développement initial.</w:t>
      </w:r>
    </w:p>
    <w:p>
      <w:pPr>
        <w:pStyle w:val="Heading2"/>
        <w:spacing w:after="120" w:before="300"/>
      </w:pPr>
      <w:r>
        <w:rPr>
          <w:b/>
          <w:bCs/>
          <w:color w:val="EC4899"/>
        </w:rPr>
        <w:t xml:space="preserve">12.2 Maintenance évolutive (optionnelle)</w:t>
      </w:r>
    </w:p>
    <w:p>
      <w:pPr>
        <w:spacing w:after="160" w:line="300"/>
      </w:pPr>
      <w:r>
        <w:rPr>
          <w:color w:val="1F2937"/>
          <w:sz w:val="21"/>
          <w:szCs w:val="21"/>
        </w:rPr>
        <w:t xml:space="preserve">Au-delà de la garantie, un contrat de maintenance peut être proposé pour couvrir :</w:t>
      </w:r>
    </w:p>
    <w:p>
      <w:pPr>
        <w:pStyle w:val="ListParagraph"/>
        <w:numPr>
          <w:ilvl w:val="0"/>
          <w:numId w:val="2"/>
        </w:numPr>
        <w:spacing w:after="80" w:line="280"/>
      </w:pPr>
      <w:r>
        <w:rPr>
          <w:color w:val="1F2937"/>
          <w:sz w:val="21"/>
          <w:szCs w:val="21"/>
        </w:rPr>
        <w:t xml:space="preserve">La mise à jour des technologies (PHP, bibliothèques JS, Bootstrap)</w:t>
      </w:r>
    </w:p>
    <w:p>
      <w:pPr>
        <w:pStyle w:val="ListParagraph"/>
        <w:numPr>
          <w:ilvl w:val="0"/>
          <w:numId w:val="2"/>
        </w:numPr>
        <w:spacing w:after="80" w:line="280"/>
      </w:pPr>
      <w:r>
        <w:rPr>
          <w:color w:val="1F2937"/>
          <w:sz w:val="21"/>
          <w:szCs w:val="21"/>
        </w:rPr>
        <w:t xml:space="preserve">Les sauvegardes régulières et la surveillance de la sécurité</w:t>
      </w:r>
    </w:p>
    <w:p>
      <w:pPr>
        <w:pStyle w:val="ListParagraph"/>
        <w:numPr>
          <w:ilvl w:val="0"/>
          <w:numId w:val="2"/>
        </w:numPr>
        <w:spacing w:after="80" w:line="280"/>
      </w:pPr>
      <w:r>
        <w:rPr>
          <w:color w:val="1F2937"/>
          <w:sz w:val="21"/>
          <w:szCs w:val="21"/>
        </w:rPr>
        <w:t xml:space="preserve">Le support technique et l'assistance à l'équipe SCHOOL FOR ALL</w:t>
      </w:r>
    </w:p>
    <w:p>
      <w:pPr>
        <w:pStyle w:val="ListParagraph"/>
        <w:numPr>
          <w:ilvl w:val="0"/>
          <w:numId w:val="2"/>
        </w:numPr>
        <w:spacing w:after="80" w:line="280"/>
      </w:pPr>
      <w:r>
        <w:rPr>
          <w:color w:val="1F2937"/>
          <w:sz w:val="21"/>
          <w:szCs w:val="21"/>
        </w:rPr>
        <w:t xml:space="preserve">Le développement de nouvelles fonctionnalités</w:t>
      </w:r>
    </w:p>
    <w:p>
      <w:pPr>
        <w:pStyle w:val="Heading2"/>
        <w:spacing w:after="120" w:before="300"/>
      </w:pPr>
      <w:r>
        <w:rPr>
          <w:b/>
          <w:bCs/>
          <w:color w:val="EC4899"/>
        </w:rPr>
        <w:t xml:space="preserve">12.3 Évolutions envisageables à moyen terme</w:t>
      </w:r>
    </w:p>
    <w:p>
      <w:pPr>
        <w:pStyle w:val="ListParagraph"/>
        <w:numPr>
          <w:ilvl w:val="0"/>
          <w:numId w:val="2"/>
        </w:numPr>
        <w:spacing w:after="80" w:line="280"/>
      </w:pPr>
      <w:r>
        <w:rPr>
          <w:color w:val="1F2937"/>
          <w:sz w:val="21"/>
          <w:szCs w:val="21"/>
        </w:rPr>
        <w:t xml:space="preserve">Espace élève personnel (suivi individuel de la progression, accès à ses notes et corrections)</w:t>
      </w:r>
    </w:p>
    <w:p>
      <w:pPr>
        <w:pStyle w:val="ListParagraph"/>
        <w:numPr>
          <w:ilvl w:val="0"/>
          <w:numId w:val="2"/>
        </w:numPr>
        <w:spacing w:after="80" w:line="280"/>
      </w:pPr>
      <w:r>
        <w:rPr>
          <w:color w:val="1F2937"/>
          <w:sz w:val="21"/>
          <w:szCs w:val="21"/>
        </w:rPr>
        <w:t xml:space="preserve">Paiement en ligne des frais de scolarité / inscription (Mobile Money, carte bancaire)</w:t>
      </w:r>
    </w:p>
    <w:p>
      <w:pPr>
        <w:pStyle w:val="ListParagraph"/>
        <w:numPr>
          <w:ilvl w:val="0"/>
          <w:numId w:val="2"/>
        </w:numPr>
        <w:spacing w:after="80" w:line="280"/>
      </w:pPr>
      <w:r>
        <w:rPr>
          <w:color w:val="1F2937"/>
          <w:sz w:val="21"/>
          <w:szCs w:val="21"/>
        </w:rPr>
        <w:t xml:space="preserve">Application mobile complémentaire au site</w:t>
      </w:r>
    </w:p>
    <w:p>
      <w:pPr>
        <w:pStyle w:val="ListParagraph"/>
        <w:numPr>
          <w:ilvl w:val="0"/>
          <w:numId w:val="2"/>
        </w:numPr>
        <w:spacing w:after="80" w:line="280"/>
      </w:pPr>
      <w:r>
        <w:rPr>
          <w:color w:val="1F2937"/>
          <w:sz w:val="21"/>
          <w:szCs w:val="21"/>
        </w:rPr>
        <w:t xml:space="preserve">Notifications automatiques par SMS/WhatsApp (rappels de cours, résultats)</w:t>
      </w:r>
    </w:p>
    <w:p>
      <w:pPr>
        <w:pStyle w:val="ListParagraph"/>
        <w:numPr>
          <w:ilvl w:val="0"/>
          <w:numId w:val="2"/>
        </w:numPr>
        <w:spacing w:after="80" w:line="280"/>
      </w:pPr>
      <w:r>
        <w:rPr>
          <w:color w:val="1F2937"/>
          <w:sz w:val="21"/>
          <w:szCs w:val="21"/>
        </w:rPr>
        <w:t xml:space="preserve">Espace enseignant pour la saisie directe des notes et corrections</w:t>
      </w:r>
    </w:p>
    <w:p>
      <w:r>
        <w:br w:type="page"/>
      </w:r>
    </w:p>
    <w:p>
      <w:pPr>
        <w:pStyle w:val="Heading1"/>
        <w:pBdr>
          <w:bottom w:val="single" w:color="EC4899" w:sz="12" w:space="4"/>
        </w:pBdr>
        <w:spacing w:after="200" w:before="400"/>
      </w:pPr>
      <w:r>
        <w:rPr>
          <w:b/>
          <w:bCs/>
          <w:color w:val="831843"/>
        </w:rPr>
        <w:t xml:space="preserve">13. CONDITIONS GÉNÉRALES</w:t>
      </w:r>
    </w:p>
    <w:p>
      <w:pPr>
        <w:pStyle w:val="Heading2"/>
        <w:spacing w:after="120" w:before="300"/>
      </w:pPr>
      <w:r>
        <w:rPr>
          <w:b/>
          <w:bCs/>
          <w:color w:val="EC4899"/>
        </w:rPr>
        <w:t xml:space="preserve">13.1 Propriété intellectuelle</w:t>
      </w:r>
    </w:p>
    <w:p>
      <w:pPr>
        <w:spacing w:after="160" w:line="300"/>
      </w:pPr>
      <w:r>
        <w:rPr>
          <w:color w:val="1F2937"/>
          <w:sz w:val="21"/>
          <w:szCs w:val="21"/>
        </w:rPr>
        <w:t xml:space="preserve">Sauf accord contraire, le code source développé spécifiquement pour SCHOOL FOR ALL, ainsi que les contenus fournis par le client (textes, logo, photos), restent la propriété du client après solde complet de la prestation. Les bibliothèques et frameworks tiers utilisés (Bootstrap, etc.) demeurent soumis à leurs licences respectives.</w:t>
      </w:r>
    </w:p>
    <w:p>
      <w:pPr>
        <w:pStyle w:val="Heading2"/>
        <w:spacing w:after="120" w:before="300"/>
      </w:pPr>
      <w:r>
        <w:rPr>
          <w:b/>
          <w:bCs/>
          <w:color w:val="EC4899"/>
        </w:rPr>
        <w:t xml:space="preserve">13.2 Confidentialité</w:t>
      </w:r>
    </w:p>
    <w:p>
      <w:pPr>
        <w:spacing w:after="160" w:line="300"/>
      </w:pPr>
      <w:r>
        <w:rPr>
          <w:color w:val="1F2937"/>
          <w:sz w:val="21"/>
          <w:szCs w:val="21"/>
        </w:rPr>
        <w:t xml:space="preserve">Les informations transmises dans le cadre du projet (données des élèves, informations internes à SCHOOL FOR ALL) sont traitées de manière confidentielle par l'équipe de développement.</w:t>
      </w:r>
    </w:p>
    <w:p>
      <w:pPr>
        <w:pStyle w:val="Heading2"/>
        <w:spacing w:after="120" w:before="300"/>
      </w:pPr>
      <w:r>
        <w:rPr>
          <w:b/>
          <w:bCs/>
          <w:color w:val="EC4899"/>
        </w:rPr>
        <w:t xml:space="preserve">13.3 Protection des données personnelles</w:t>
      </w:r>
    </w:p>
    <w:p>
      <w:pPr>
        <w:spacing w:after="160" w:line="300"/>
      </w:pPr>
      <w:r>
        <w:rPr>
          <w:color w:val="1F2937"/>
          <w:sz w:val="21"/>
          <w:szCs w:val="21"/>
        </w:rPr>
        <w:t xml:space="preserve">Les données collectées via le formulaire d'inscription (élèves, parents) sont utilisées uniquement dans le cadre de la gestion pédagogique et administrative de SCHOOL FOR ALL, avec les mesures de sécurité décrites au chapitre 6.5.</w:t>
      </w:r>
    </w:p>
    <w:p>
      <w:r>
        <w:br w:type="page"/>
      </w:r>
    </w:p>
    <w:p>
      <w:pPr>
        <w:pStyle w:val="Heading1"/>
        <w:pBdr>
          <w:bottom w:val="single" w:color="EC4899" w:sz="12" w:space="4"/>
        </w:pBdr>
        <w:spacing w:after="200" w:before="400"/>
      </w:pPr>
      <w:r>
        <w:rPr>
          <w:b/>
          <w:bCs/>
          <w:color w:val="831843"/>
        </w:rPr>
        <w:t xml:space="preserve">14. ANNEXES</w:t>
      </w:r>
    </w:p>
    <w:p>
      <w:pPr>
        <w:pStyle w:val="Heading2"/>
        <w:spacing w:after="120" w:before="300"/>
      </w:pPr>
      <w:r>
        <w:rPr>
          <w:b/>
          <w:bCs/>
          <w:color w:val="EC4899"/>
        </w:rPr>
        <w:t xml:space="preserve">Annexe 1 — Maquette du site web</w:t>
      </w:r>
    </w:p>
    <w:p>
      <w:pPr>
        <w:spacing w:after="160" w:line="300"/>
      </w:pPr>
      <w:r>
        <w:rPr>
          <w:color w:val="1F2937"/>
          <w:sz w:val="21"/>
          <w:szCs w:val="21"/>
        </w:rPr>
        <w:t xml:space="preserve">Voir aperçu au chapitre 7 (fichier maquette fourni par le client).</w:t>
      </w:r>
    </w:p>
    <w:p>
      <w:pPr>
        <w:pStyle w:val="Heading2"/>
        <w:spacing w:after="120" w:before="300"/>
      </w:pPr>
      <w:r>
        <w:rPr>
          <w:b/>
          <w:bCs/>
          <w:color w:val="EC4899"/>
        </w:rPr>
        <w:t xml:space="preserve">Annexe 2 — Fiche d'inscription actuelle</w:t>
      </w:r>
    </w:p>
    <w:p>
      <w:pPr>
        <w:spacing w:after="160" w:line="300"/>
      </w:pPr>
      <w:r>
        <w:rPr>
          <w:color w:val="1F2937"/>
          <w:sz w:val="21"/>
          <w:szCs w:val="21"/>
        </w:rPr>
        <w:t xml:space="preserve">La fiche d'inscription physique actuellement utilisée par SCHOOL FOR ALL (République du Cameroun, Ministère de l'Enseignement Secondaire) sert de base au formulaire en ligne décrit au chapitre 5.2. Elle comprend notamment : photo 4x4, identité complète de l'élève, établissement, classe, série, année scolaire, statut, adresse, date de début des cours, personne à contacter en cas d'urgence, moyen de découverte de SCHOOL FOR ALL, difficultés scolaires éventuelles, projet de carrière, ainsi que le règlement intérieur en 20 points que l'élève s'engage à respecter.</w:t>
      </w:r>
    </w:p>
    <w:p>
      <w:pPr>
        <w:pStyle w:val="Heading2"/>
        <w:spacing w:after="120" w:before="300"/>
      </w:pPr>
      <w:r>
        <w:rPr>
          <w:b/>
          <w:bCs/>
          <w:color w:val="EC4899"/>
        </w:rPr>
        <w:t xml:space="preserve">Annexe 3 — Diagramme de Gantt</w:t>
      </w:r>
    </w:p>
    <w:p>
      <w:pPr>
        <w:spacing w:after="160" w:line="300"/>
      </w:pPr>
      <w:r>
        <w:rPr>
          <w:color w:val="1F2937"/>
          <w:sz w:val="21"/>
          <w:szCs w:val="21"/>
        </w:rPr>
        <w:t xml:space="preserve">Voir fichier séparé : « SCHOOL_FOR_ALL_Diagramme_de_Gantt.xlsx », modifiable, joint au présent cahier des charges.</w:t>
      </w:r>
    </w:p>
    <w:p>
      <w:pPr>
        <w:spacing w:after="400"/>
      </w:pPr>
    </w:p>
    <w:p>
      <w:pPr>
        <w:spacing w:before="400"/>
        <w:jc w:val="center"/>
      </w:pPr>
      <w:r>
        <w:rPr>
          <w:i/>
          <w:iCs/>
          <w:color w:val="6B7280"/>
          <w:sz w:val="20"/>
          <w:szCs w:val="20"/>
        </w:rPr>
        <w:t xml:space="preserve">— Fin du cahier des charges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e089b22d9e68cf4ba6164222d386e6be399e3f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2026-08-29T21:42:32.474Z</dcterms:created>
  <dcterms:modified xsi:type="dcterms:W3CDTF">2026-08-29T21:42:32.483Z</dcterms:modified>
</cp:coreProperties>
</file>

<file path=docProps/custom.xml><?xml version="1.0" encoding="utf-8"?>
<Properties xmlns="http://schemas.openxmlformats.org/officeDocument/2006/custom-properties" xmlns:vt="http://schemas.openxmlformats.org/officeDocument/2006/docPropsVTypes"/>
</file>