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98809" w14:textId="77777777" w:rsidR="00B473EB" w:rsidRDefault="00B473EB" w:rsidP="00B473EB">
      <w:r>
        <w:t>OFFICE ACTION RESPONSE — ARGUMENT WITH LEGAL SUPPORT</w:t>
      </w:r>
    </w:p>
    <w:p w14:paraId="5434AAD8" w14:textId="77777777" w:rsidR="00B473EB" w:rsidRDefault="00B473EB" w:rsidP="00B473EB">
      <w:r>
        <w:t>I. The Examining Attorney’s Focus on “KEIRO” Is Improper Dissection of a Unitary Mark</w:t>
      </w:r>
    </w:p>
    <w:p w14:paraId="038AF7B0" w14:textId="77777777" w:rsidR="00B473EB" w:rsidRDefault="00B473EB" w:rsidP="00B473EB">
      <w:r>
        <w:t>The USPTO may not break apart a mark and analyze its components in isolation when determining descriptiveness or distinctiveness. The law requires evaluation of the mark as a whole.</w:t>
      </w:r>
    </w:p>
    <w:p w14:paraId="054CDEE7" w14:textId="77777777" w:rsidR="00B473EB" w:rsidRDefault="00B473EB" w:rsidP="00B473EB">
      <w:r>
        <w:t xml:space="preserve">• </w:t>
      </w:r>
      <w:r>
        <w:tab/>
        <w:t>TMEP §1207.01(b)(v) — “Marks must be compared in their entireties and not dissected.”</w:t>
      </w:r>
    </w:p>
    <w:p w14:paraId="710FEDBA" w14:textId="77777777" w:rsidR="00B473EB" w:rsidRDefault="00B473EB" w:rsidP="00B473EB">
      <w:r>
        <w:t xml:space="preserve">• </w:t>
      </w:r>
      <w:r>
        <w:tab/>
        <w:t>TMEP §1209.03(d) — “A mark must be considered as a whole in determining descriptiveness; the USPTO may not dissect a mark into isolated elements.”</w:t>
      </w:r>
    </w:p>
    <w:p w14:paraId="0B1FE00D" w14:textId="77777777" w:rsidR="00B473EB" w:rsidRDefault="00B473EB" w:rsidP="00B473EB">
      <w:r>
        <w:t>KEIROCLONE is a unitary, coined term that creates a single commercial impression. Consumers do not encounter “KEIRO” and “CLONE” separately; they encounter the combined, invented term KEIROCLONE.</w:t>
      </w:r>
    </w:p>
    <w:p w14:paraId="60E3005A" w14:textId="77777777" w:rsidR="00B473EB" w:rsidRDefault="00B473EB" w:rsidP="00B473EB">
      <w:r>
        <w:t>Therefore, the Examining Attorney’s attempt to isolate “KEIRO” is legally improper.</w:t>
      </w:r>
    </w:p>
    <w:p w14:paraId="7F916E48" w14:textId="77777777" w:rsidR="00B473EB" w:rsidRDefault="00B473EB" w:rsidP="00B473EB"/>
    <w:p w14:paraId="0940CE73" w14:textId="77777777" w:rsidR="00B473EB" w:rsidRDefault="00B473EB" w:rsidP="00B473EB">
      <w:r>
        <w:t>II. The Doctrine of Foreign Equivalents Does Not Apply</w:t>
      </w:r>
    </w:p>
    <w:p w14:paraId="163CC2DC" w14:textId="77777777" w:rsidR="00B473EB" w:rsidRDefault="00B473EB" w:rsidP="00B473EB">
      <w:r>
        <w:t>The Examining Attorney’s reference to the meaning of “KEIRO” in Greek or Japanese is misplaced. The Doctrine of Foreign Equivalents is narrow, not automatic, and applies only when:</w:t>
      </w:r>
    </w:p>
    <w:p w14:paraId="340C246D" w14:textId="77777777" w:rsidR="00B473EB" w:rsidRDefault="00B473EB" w:rsidP="00B473EB">
      <w:r>
        <w:t xml:space="preserve">1. </w:t>
      </w:r>
      <w:r>
        <w:tab/>
        <w:t>The foreign language is common to a substantial portion of U.S. consumers, and</w:t>
      </w:r>
    </w:p>
    <w:p w14:paraId="50DE2D68" w14:textId="77777777" w:rsidR="00B473EB" w:rsidRDefault="00B473EB" w:rsidP="00B473EB">
      <w:r>
        <w:t xml:space="preserve">2. </w:t>
      </w:r>
      <w:r>
        <w:tab/>
        <w:t>The translation would be immediately understood by those consumers.</w:t>
      </w:r>
    </w:p>
    <w:p w14:paraId="7680D761" w14:textId="77777777" w:rsidR="00B473EB" w:rsidRDefault="00B473EB" w:rsidP="00B473EB">
      <w:r>
        <w:t>This is well</w:t>
      </w:r>
      <w:r>
        <w:rPr>
          <w:rFonts w:ascii="Cambria Math" w:hAnsi="Cambria Math" w:cs="Cambria Math"/>
        </w:rPr>
        <w:t>‑</w:t>
      </w:r>
      <w:r>
        <w:t>established:</w:t>
      </w:r>
    </w:p>
    <w:p w14:paraId="47D393F5" w14:textId="77777777" w:rsidR="00B473EB" w:rsidRDefault="00B473EB" w:rsidP="00B473EB">
      <w:r>
        <w:t xml:space="preserve">• </w:t>
      </w:r>
      <w:r>
        <w:tab/>
        <w:t>TMEP §1207.01(b)(vi) — Doctrine of Foreign Equivalents is applied only when the ordinary American purchaser would “stop and translate.”</w:t>
      </w:r>
    </w:p>
    <w:p w14:paraId="1ADFF140" w14:textId="77777777" w:rsidR="00B473EB" w:rsidRDefault="00B473EB" w:rsidP="00B473EB">
      <w:r>
        <w:t xml:space="preserve">• </w:t>
      </w:r>
      <w:r>
        <w:tab/>
        <w:t>Palm Bay Imports, Inc. v. Veuve Clicquot, 396 F.3d 1369 (Fed. Cir. 2005) — Doctrine is not applied mechanically; only when the foreign term would be understood by U.S. consumers.</w:t>
      </w:r>
    </w:p>
    <w:p w14:paraId="1C36F686" w14:textId="77777777" w:rsidR="00B473EB" w:rsidRDefault="00B473EB" w:rsidP="00B473EB">
      <w:r>
        <w:t xml:space="preserve">• </w:t>
      </w:r>
      <w:r>
        <w:tab/>
        <w:t>In re Thomas, 79 USPQ2d 1021 (TTAB 2006) — Doctrine does not apply to obscure or uncommon languages.</w:t>
      </w:r>
    </w:p>
    <w:p w14:paraId="039C3718" w14:textId="77777777" w:rsidR="00B473EB" w:rsidRDefault="00B473EB" w:rsidP="00B473EB">
      <w:r>
        <w:t xml:space="preserve">• </w:t>
      </w:r>
      <w:r>
        <w:tab/>
        <w:t>In re Spirits Int’l N.V., 563 F.3d 1347 (Fed. Cir. 2009) — Only applies when the foreign term is from a language “familiar to an appreciable segment of U.S. consumers.”</w:t>
      </w:r>
    </w:p>
    <w:p w14:paraId="1AFA40FA" w14:textId="77777777" w:rsidR="00B473EB" w:rsidRDefault="00B473EB" w:rsidP="00B473EB">
      <w:r>
        <w:t>Greek and Japanese are not languages commonly understood by the relevant U.S. purchasing public.</w:t>
      </w:r>
    </w:p>
    <w:p w14:paraId="0D9B8593" w14:textId="77777777" w:rsidR="00B473EB" w:rsidRDefault="00B473EB" w:rsidP="00B473EB">
      <w:r>
        <w:t>Therefore, the doctrine does not apply, and any foreign meaning of “KEIRO” is irrelevant.</w:t>
      </w:r>
    </w:p>
    <w:p w14:paraId="22600835" w14:textId="77777777" w:rsidR="00B473EB" w:rsidRDefault="00B473EB" w:rsidP="00B473EB"/>
    <w:p w14:paraId="5927AEBF" w14:textId="77777777" w:rsidR="00B473EB" w:rsidRDefault="00B473EB" w:rsidP="00B473EB">
      <w:r>
        <w:t>III. Even If KEIRO Has a Foreign Meaning, It Is Not Descriptive of the Goods/Services</w:t>
      </w:r>
    </w:p>
    <w:p w14:paraId="6267B8E4" w14:textId="77777777" w:rsidR="00B473EB" w:rsidRDefault="00B473EB" w:rsidP="00B473EB">
      <w:r>
        <w:t>Even assuming arguendo that “KEIRO” has meaning in Greek or Japanese, the Examining Attorney must still show that the meaning:</w:t>
      </w:r>
    </w:p>
    <w:p w14:paraId="402CE50F" w14:textId="77777777" w:rsidR="00B473EB" w:rsidRDefault="00B473EB" w:rsidP="00B473EB">
      <w:r>
        <w:t xml:space="preserve">• </w:t>
      </w:r>
      <w:r>
        <w:tab/>
        <w:t>directly describes</w:t>
      </w:r>
    </w:p>
    <w:p w14:paraId="155C4F50" w14:textId="77777777" w:rsidR="00B473EB" w:rsidRDefault="00B473EB" w:rsidP="00B473EB">
      <w:r>
        <w:lastRenderedPageBreak/>
        <w:t xml:space="preserve">• </w:t>
      </w:r>
      <w:r>
        <w:tab/>
        <w:t>a feature, function, purpose, or characteristic</w:t>
      </w:r>
    </w:p>
    <w:p w14:paraId="115B61E5" w14:textId="77777777" w:rsidR="00B473EB" w:rsidRDefault="00B473EB" w:rsidP="00B473EB">
      <w:r>
        <w:t xml:space="preserve">• </w:t>
      </w:r>
      <w:r>
        <w:tab/>
        <w:t>of the specific goods/services</w:t>
      </w:r>
    </w:p>
    <w:p w14:paraId="79C739A6" w14:textId="77777777" w:rsidR="00B473EB" w:rsidRDefault="00B473EB" w:rsidP="00B473EB">
      <w:r>
        <w:t>This is the standard under:</w:t>
      </w:r>
    </w:p>
    <w:p w14:paraId="6AFB7CA1" w14:textId="77777777" w:rsidR="00B473EB" w:rsidRDefault="00B473EB" w:rsidP="00B473EB">
      <w:r>
        <w:t xml:space="preserve">• </w:t>
      </w:r>
      <w:r>
        <w:tab/>
        <w:t>TMEP §1209.01(b) — A term is descriptive only if it “immediately conveys knowledge of a quality, feature, function, or characteristic of the goods or services.”</w:t>
      </w:r>
    </w:p>
    <w:p w14:paraId="4CE918E9" w14:textId="77777777" w:rsidR="00B473EB" w:rsidRDefault="00B473EB" w:rsidP="00B473EB">
      <w:r>
        <w:t xml:space="preserve">• </w:t>
      </w:r>
      <w:r>
        <w:tab/>
        <w:t>In re Gyulay, 820 F.2d 1216 (Fed. Cir. 1987) — Descriptiveness requires immediate conveyance of information.</w:t>
      </w:r>
    </w:p>
    <w:p w14:paraId="256D7631" w14:textId="77777777" w:rsidR="00B473EB" w:rsidRDefault="00B473EB" w:rsidP="00B473EB">
      <w:r>
        <w:t xml:space="preserve">• </w:t>
      </w:r>
      <w:r>
        <w:tab/>
        <w:t>In re Merrill Lynch, 828 F.2d 1567 (Fed. Cir. 1987) — If imagination or thought is required, the mark is not descriptive.</w:t>
      </w:r>
    </w:p>
    <w:p w14:paraId="735BFD94" w14:textId="77777777" w:rsidR="00B473EB" w:rsidRDefault="00B473EB" w:rsidP="00B473EB">
      <w:r>
        <w:t>No meaning of “KEIRO” — in Greek, Japanese, or English — describes or suggests anything about Applicant’s goods or services.</w:t>
      </w:r>
    </w:p>
    <w:p w14:paraId="2B1C176B" w14:textId="77777777" w:rsidR="00B473EB" w:rsidRDefault="00B473EB" w:rsidP="00B473EB">
      <w:r>
        <w:t>Thus, even if the foreign meaning were considered (it should not be), it still fails the descriptiveness test.</w:t>
      </w:r>
    </w:p>
    <w:p w14:paraId="6FBB3910" w14:textId="77777777" w:rsidR="00B473EB" w:rsidRDefault="00B473EB" w:rsidP="00B473EB"/>
    <w:p w14:paraId="7C8908CE" w14:textId="77777777" w:rsidR="00B473EB" w:rsidRDefault="00B473EB" w:rsidP="00B473EB">
      <w:r>
        <w:t>IV. KEIROCLONE Is a Coined, Fanciful, Inherently Distinctive Mark</w:t>
      </w:r>
    </w:p>
    <w:p w14:paraId="3023B98D" w14:textId="77777777" w:rsidR="00B473EB" w:rsidRDefault="00B473EB" w:rsidP="00B473EB">
      <w:r>
        <w:t>Fanciful marks — invented terms with no inherent meaning — are the strongest category of trademarks and are inherently registrable.</w:t>
      </w:r>
    </w:p>
    <w:p w14:paraId="659233A8" w14:textId="77777777" w:rsidR="00B473EB" w:rsidRDefault="00B473EB" w:rsidP="00B473EB">
      <w:r>
        <w:t>This is supported by:</w:t>
      </w:r>
    </w:p>
    <w:p w14:paraId="34D4A147" w14:textId="77777777" w:rsidR="00B473EB" w:rsidRDefault="00B473EB" w:rsidP="00B473EB">
      <w:r>
        <w:t xml:space="preserve">• </w:t>
      </w:r>
      <w:r>
        <w:tab/>
        <w:t>TMEP §1209.01(a) — Fanciful marks are “coined terms with no dictionary meaning” and are inherently distinctive.</w:t>
      </w:r>
    </w:p>
    <w:p w14:paraId="5C3BF430" w14:textId="77777777" w:rsidR="00B473EB" w:rsidRDefault="00B473EB" w:rsidP="00B473EB">
      <w:r>
        <w:t xml:space="preserve">• </w:t>
      </w:r>
      <w:r>
        <w:tab/>
        <w:t>Abercrombie &amp; Fitch Co. v. Hunting World, 537 F.2d 4 (2d Cir. 1976) — Fanciful marks receive the highest level of protection.</w:t>
      </w:r>
    </w:p>
    <w:p w14:paraId="0313B5A6" w14:textId="77777777" w:rsidR="00B473EB" w:rsidRDefault="00B473EB" w:rsidP="00B473EB">
      <w:r>
        <w:t>KEIROCLONE:</w:t>
      </w:r>
    </w:p>
    <w:p w14:paraId="262C5D79" w14:textId="77777777" w:rsidR="00B473EB" w:rsidRDefault="00B473EB" w:rsidP="00B473EB">
      <w:r>
        <w:t xml:space="preserve">• </w:t>
      </w:r>
      <w:r>
        <w:tab/>
        <w:t>has no dictionary meaning</w:t>
      </w:r>
    </w:p>
    <w:p w14:paraId="0F0ABF55" w14:textId="77777777" w:rsidR="00B473EB" w:rsidRDefault="00B473EB" w:rsidP="00B473EB">
      <w:r>
        <w:t xml:space="preserve">• </w:t>
      </w:r>
      <w:r>
        <w:tab/>
        <w:t>is not used in commerce</w:t>
      </w:r>
    </w:p>
    <w:p w14:paraId="2A5AD83A" w14:textId="77777777" w:rsidR="00B473EB" w:rsidRDefault="00B473EB" w:rsidP="00B473EB">
      <w:r>
        <w:t xml:space="preserve">• </w:t>
      </w:r>
      <w:r>
        <w:tab/>
        <w:t>is not a recognized phrase</w:t>
      </w:r>
    </w:p>
    <w:p w14:paraId="7A25F352" w14:textId="77777777" w:rsidR="00B473EB" w:rsidRDefault="00B473EB" w:rsidP="00B473EB">
      <w:r>
        <w:t xml:space="preserve">• </w:t>
      </w:r>
      <w:r>
        <w:tab/>
        <w:t>requires imagination to interpret</w:t>
      </w:r>
    </w:p>
    <w:p w14:paraId="1CF49138" w14:textId="77777777" w:rsidR="00B473EB" w:rsidRDefault="00B473EB" w:rsidP="00B473EB">
      <w:r>
        <w:t xml:space="preserve">• </w:t>
      </w:r>
      <w:r>
        <w:tab/>
        <w:t>creates a unique commercial impression</w:t>
      </w:r>
    </w:p>
    <w:p w14:paraId="6D73D1B4" w14:textId="77777777" w:rsidR="00B473EB" w:rsidRDefault="00B473EB" w:rsidP="00B473EB">
      <w:r>
        <w:t>Therefore, it is inherently distinctive and fully registrable on the Principal Register.</w:t>
      </w:r>
    </w:p>
    <w:p w14:paraId="0F40E7B8" w14:textId="77777777" w:rsidR="00B473EB" w:rsidRDefault="00B473EB" w:rsidP="00B473EB"/>
    <w:p w14:paraId="4806451A" w14:textId="77777777" w:rsidR="00B473EB" w:rsidRDefault="00B473EB" w:rsidP="00B473EB">
      <w:r>
        <w:t>Conclusion</w:t>
      </w:r>
    </w:p>
    <w:p w14:paraId="3395C652" w14:textId="77777777" w:rsidR="00B473EB" w:rsidRDefault="00B473EB" w:rsidP="00B473EB">
      <w:r>
        <w:t>For the reasons above:</w:t>
      </w:r>
    </w:p>
    <w:p w14:paraId="13E60365" w14:textId="77777777" w:rsidR="00B473EB" w:rsidRDefault="00B473EB" w:rsidP="00B473EB">
      <w:r>
        <w:lastRenderedPageBreak/>
        <w:t xml:space="preserve">• </w:t>
      </w:r>
      <w:r>
        <w:tab/>
        <w:t>The Examining Attorney’s dissection of the mark is improper.</w:t>
      </w:r>
    </w:p>
    <w:p w14:paraId="7A1CF7BB" w14:textId="77777777" w:rsidR="00B473EB" w:rsidRDefault="00B473EB" w:rsidP="00B473EB">
      <w:r>
        <w:t xml:space="preserve">• </w:t>
      </w:r>
      <w:r>
        <w:tab/>
        <w:t>The Doctrine of Foreign Equivalents does not apply.</w:t>
      </w:r>
    </w:p>
    <w:p w14:paraId="4458AA0F" w14:textId="77777777" w:rsidR="00B473EB" w:rsidRDefault="00B473EB" w:rsidP="00B473EB">
      <w:r>
        <w:t xml:space="preserve">• </w:t>
      </w:r>
      <w:r>
        <w:tab/>
        <w:t>Any foreign meaning of “KEIRO” is irrelevant and non</w:t>
      </w:r>
      <w:r>
        <w:rPr>
          <w:rFonts w:ascii="Cambria Math" w:hAnsi="Cambria Math" w:cs="Cambria Math"/>
        </w:rPr>
        <w:t>‑</w:t>
      </w:r>
      <w:r>
        <w:t>descriptive.</w:t>
      </w:r>
    </w:p>
    <w:p w14:paraId="1880D54C" w14:textId="77777777" w:rsidR="00B473EB" w:rsidRDefault="00B473EB" w:rsidP="00B473EB">
      <w:r>
        <w:t xml:space="preserve">• </w:t>
      </w:r>
      <w:r>
        <w:tab/>
        <w:t>KEIROCLONE is a coined, fanciful, inherently distinctive mark.</w:t>
      </w:r>
    </w:p>
    <w:p w14:paraId="1F3CE3D8" w14:textId="218381E7" w:rsidR="00B673DC" w:rsidRDefault="00B473EB" w:rsidP="00B473EB">
      <w:r>
        <w:t>Applicant respectfully requests that the refusal be withdrawn and that the mark proceed to publication.</w:t>
      </w:r>
    </w:p>
    <w:sectPr w:rsidR="00B67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EB"/>
    <w:rsid w:val="00B473EB"/>
    <w:rsid w:val="00B673DC"/>
    <w:rsid w:val="00CD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D321"/>
  <w15:chartTrackingRefBased/>
  <w15:docId w15:val="{5A990CB4-C904-434E-9CBC-3F11A6494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619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Taylor</dc:creator>
  <cp:keywords/>
  <dc:description/>
  <cp:lastModifiedBy>Matt Taylor</cp:lastModifiedBy>
  <cp:revision>1</cp:revision>
  <dcterms:created xsi:type="dcterms:W3CDTF">2025-12-25T20:06:00Z</dcterms:created>
  <dcterms:modified xsi:type="dcterms:W3CDTF">2025-12-25T20:07:00Z</dcterms:modified>
</cp:coreProperties>
</file>