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Projeto RES SUS Nacional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Relatório do Seminário de Desenvolvedores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São Paulo, 15 a 16 de maio de 2014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do seminário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Avançar no entendimento dos perfis de integração do IHE para a gestão de identificação de pacientes (PIXv3 e PDQv3) e compartilhamento de documentos clínicos (XDSb), sob o ponto de vista de desenvolvimento de sistemas. Além disso: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entender como utilizar os guias de implementação elaborados pela UNB e material de referência do IHE para apoio às atividades de desenvolvimento;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realizar exercícios práticos sobre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wrappers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e seus respectivos modelos de informação;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Iniciar a atividade de desenvolvimento de classes para consumo dos serviços.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Local de realização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Secretaria Municipal da Saúde de São Paulo – Coordenação de Vigilância em Saúde (COVISA). Rua Santa Isabel, 181 - Vila Buarque - São Paulo (SP)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Participantes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Coordenação: Marcelo Rodrigues dos Santos - Pesquisador UNB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40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60"/>
        <w:gridCol w:w="1815"/>
        <w:gridCol w:w="3465"/>
        <w:tblGridChange w:id="0">
          <w:tblGrid>
            <w:gridCol w:w="2660"/>
            <w:gridCol w:w="1815"/>
            <w:gridCol w:w="346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Organização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Deborah Pimenta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Ferreira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deborahc@prefeitura.sp.gov.br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Cláudio Barros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claudiopignatari@prefeitura.sp.gov.br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Patrícia Fontoura de Sene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pfsene@prefeitura.sp.gov.br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Wesley Junior de Souza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wesleyjr@prefeitura.sp.gov.br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Fundação Ezute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dpsantos@ezute.org.br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Leonardo Guimarães Lopes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Fundação Ezute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lguimaraes@ezute.org.br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Rodrigo de Oliveira Pires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Fundação Ezute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rpires@ezute.org.br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highlight w:val="white"/>
                <w:rtl w:val="0"/>
              </w:rPr>
              <w:t xml:space="preserve">Rodrigo Monteiro Barboza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Fundação Ezute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rbaboza@ezute.org.br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 Sadao Kinchocku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rafael.kinchoku@ima.sp.gov.br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Denilso Fabiano Brustelo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denilso.fabiano@ima.sp.gov.br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Luciano Benato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lbenato@prodam.sp.gov.br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Pedro Ventura da Silva Neto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Prodam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pedroventura@prodam.sp.gov.br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Francisco Cantarutti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Sisqualis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francisco.cantatutti@sisqualis.com.br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Herberth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Sisqualis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herberth.amaral@sisqualis.com.br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 Sander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Sisqualis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guilherme.sander@sisqualis.com.br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Thiago de Souza Caetano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Hospital Alemão Oswaldo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thiago.caetano@haoc.com.br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Denis da Costa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Hospital Alemão Oswaldo Cruz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deniscr@haoc.com.br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 Ken Iti Ikeuchi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 Campinas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daniel.ikeuchi@campinas.sp.gov.br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Leonel Carlos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 Campinas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leonel.pereira@campinas.sp.gov.br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Thiago Della Serra Amaral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SMS Campinas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thiago.amaral@campinas.sp.gov.br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Agenda do Seminário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15/5 de 9 às 17h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Introdução (1 h)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Discussão sobre a agenda;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Revisão sobre os perfis: IHE PIXv3, PDQv3 e XDSb;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Discussão sobre transações (2h)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Discussão sobre as transações (realização de alguns testes via SoapUI):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PIXv3 ITI-44 Patient Registry Record Added (PRPA_TE201301UV02);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PIXv3 ITI-44 Patient Registry Record Revised (PRPA_TE201302UV02);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PixQueryv3 - ITI-45 Patient Registry Get Identifiers Query (PRPA_TE201309UV02);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PDQv3 – ITI-47 Patient Registry Find Candidates Query (PRPA_IN201305UV02);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XDSb ITI-41 Provide and Register Document Set b.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Atividade em grupos (5h)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Discussão sobre estratégia para divisão de grupos e atividades a serem realizadas para início da atividade de desenvolvimento.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16/5 de 9 às 15h</w:t>
      </w:r>
    </w:p>
    <w:p w:rsidR="00000000" w:rsidDel="00000000" w:rsidP="00000000" w:rsidRDefault="00000000" w:rsidRPr="00000000" w14:paraId="0000006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Atividade em grupos (6h)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0" w:firstLine="72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Continuidade da atividade em grupos;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firstLine="0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Apresentação de resultados pelos grupos e discussão final sobre conclusões e recomendações.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Síntese das atividades realizadas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contexto das atividades de desenvolvimento de sistemas, apresentou-se uma proposta para divisão dos grupos conforme ilustrado na FIGURA 1.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2638" cy="342947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– necessidade de desenvolvimento e transações prioritárias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efeito, os seguintes grupos foram formados:</w:t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Grupo 1 – objetivo: interagir com o ator PIX Manager e iniciar o desenvolvimento da mensagem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Patient Registry Record Added (PRPA_TE201301UV02);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Grupo 2 – objetivo: interagir com o ator PDQ Supplier e iniciar o desenvolvimento da mensagem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Patient Registry Find Candidates Query (PRPA_IN201305UV02);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1080" w:hanging="360"/>
        <w:contextualSpacing w:val="1"/>
        <w:jc w:val="both"/>
        <w:rPr>
          <w:b w:val="0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Grupo 3 – objetivo: interagir com repositório de documentos e iniciar o desenvolvimento da mensagem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Provide and Register Document Set b.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sequência, discutiram-se propostas para nortear as atividades destes grupos, conforme ilustrado na FIGURA 2.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76" w:lineRule="auto"/>
        <w:contextualSpacing w:val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4572638" cy="342947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 – atividades propostas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participantes discutiram algumas possibilidades e concordaram com a sugestão de Daniel Santos da Fundação Ezute, para realizarem as seguintes atividades no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Sprint 1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análise dos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Wrappers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e atributos utilizados pelas mensagens com apoio da ferramenta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SoapUI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, guias de implementação elaborados pela UNB e o IHE ITI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Technical Framework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 partir d</w:t>
      </w:r>
      <w:r w:rsidDel="00000000" w:rsidR="00000000" w:rsidRPr="00000000">
        <w:rPr>
          <w:rFonts w:ascii="Arial" w:cs="Arial" w:eastAsia="Arial" w:hAnsi="Arial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endpoints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disponibilizados pela </w:t>
      </w:r>
      <w:r w:rsidDel="00000000" w:rsidR="00000000" w:rsidRPr="00000000">
        <w:rPr>
          <w:rFonts w:ascii="Arial" w:cs="Arial" w:eastAsia="Arial" w:hAnsi="Arial"/>
          <w:rtl w:val="0"/>
        </w:rPr>
        <w:t xml:space="preserve">Oracle - ver ANEXO A -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realizou-se a construção das classes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correspondentes aos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wsdl/xsd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dos serviços. Utilizou-se a ferramenta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wsimport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para gerar os artefatos JAX-WS, criando os clientes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os serviços descritos;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análise das classes </w:t>
      </w: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geradas e localização dos atributos necessários para criação das mensagens.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 a execução destes passos, iniciou-se o desenvolvimento de três classes de teste, a saber: para a mensagem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Patient Registry Record Added (PRPA_TE201301UV02); </w:t>
      </w:r>
      <w:r w:rsidDel="00000000" w:rsidR="00000000" w:rsidRPr="00000000">
        <w:rPr>
          <w:rFonts w:ascii="Arial" w:cs="Arial" w:eastAsia="Arial" w:hAnsi="Arial"/>
          <w:rtl w:val="0"/>
        </w:rPr>
        <w:t xml:space="preserve">para a mensagem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ProvideandRegisterDocumentSet b; e para a mensagem </w:t>
      </w:r>
      <w:r w:rsidDel="00000000" w:rsidR="00000000" w:rsidRPr="00000000">
        <w:rPr>
          <w:rFonts w:ascii="Arial" w:cs="Arial" w:eastAsia="Arial" w:hAnsi="Arial"/>
          <w:rtl w:val="0"/>
        </w:rPr>
        <w:t xml:space="preserve">PDQv3 – ITI-47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Patient Registry Find Candidates Query (PRPA_IN201305UV02).</w:t>
      </w:r>
      <w:r w:rsidDel="00000000" w:rsidR="00000000" w:rsidRPr="00000000">
        <w:rPr>
          <w:rFonts w:ascii="Arial" w:cs="Arial" w:eastAsia="Arial" w:hAnsi="Arial"/>
          <w:rtl w:val="0"/>
        </w:rPr>
        <w:t xml:space="preserve"> Nesta última, não houve avanço na codificação propriamente dita, mas houve o entendimento dos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wrappers</w:t>
      </w:r>
      <w:r w:rsidDel="00000000" w:rsidR="00000000" w:rsidRPr="00000000">
        <w:rPr>
          <w:rFonts w:ascii="Arial" w:cs="Arial" w:eastAsia="Arial" w:hAnsi="Arial"/>
          <w:rtl w:val="0"/>
        </w:rPr>
        <w:t xml:space="preserve"> e atributos da mensagem. Com relação as duas primeiras, os grupos chegaram a iniciar a codificação de uma classe de teste para consumo dos serviços. Além disso, concebeu-se a ideia de uma tabela para mapeamento das classes e atributos – ver ANEXO B.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Durante a atividade do Grupo 3 - com no perfil XDSb - ao mesmo tempo em que se desenvolvia a classe de teste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java</w:t>
      </w:r>
      <w:r w:rsidDel="00000000" w:rsidR="00000000" w:rsidRPr="00000000">
        <w:rPr>
          <w:rFonts w:ascii="Arial" w:cs="Arial" w:eastAsia="Arial" w:hAnsi="Arial"/>
          <w:rtl w:val="0"/>
        </w:rPr>
        <w:t xml:space="preserve">, realizou-se também uma revisão do guia de implementação e da planilha de metadados elaborados pelos pesquisadores da UNB. Neste sentido, verificou-se a necessidade de confirmação de algumas listas de termos para finalizar a planilha de metadados.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relação ao Grupo 1, que discutiu sobre as transações com o ator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PIX manager</w:t>
      </w:r>
      <w:r w:rsidDel="00000000" w:rsidR="00000000" w:rsidRPr="00000000">
        <w:rPr>
          <w:rFonts w:ascii="Arial" w:cs="Arial" w:eastAsia="Arial" w:hAnsi="Arial"/>
          <w:rtl w:val="0"/>
        </w:rPr>
        <w:t xml:space="preserve">, além dos desenvolvedores o grupo contou com profissionais interessados na discussão sob o ponto de vista de negócio. Assim, uma longa discussão se desenrolou e seus resultados são descritos no ANEXO C.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No segundo dia do seminário, decidiu-se criar um novo grupo com os representantes do Hospital Alemão Oswaldo Cruz. A decisão foi motivada por terem optado pelo desenvolvimento baseado na ferramenta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Mirth Connect</w:t>
      </w:r>
      <w:r w:rsidDel="00000000" w:rsidR="00000000" w:rsidRPr="00000000">
        <w:rPr>
          <w:rFonts w:ascii="Arial" w:cs="Arial" w:eastAsia="Arial" w:hAnsi="Arial"/>
          <w:rtl w:val="0"/>
        </w:rPr>
        <w:t xml:space="preserve">. A julgar pela apresentação final realizada por este grupo, percebeu-se o potencial dessa ferramenta para acelerar o desenvolvimento de uma camada de interoperabilidade baseada em transações IHE, sob o ponto de vista de sistemas clientes.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Conclusões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Dentre as discussões realizadas pelos grupos, destacam-se como conclusões principais: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 as informações disponíveis até o momento, sobre os perfils IHE PIXv3, PDQv3 e XDSb, as equipes técnicas de software possuem elementos suficientes para iniciar o processo de desenvolvimento das mensagens;</w:t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Necessidade urgente de um ambiente de testes e homologação para apoiar a atividade de desenvolvimento das mensagens; Este ambiente deveria ser configurado de acordo com os requisitos estabelecidos para o Brasil (e.g. OIDs locais, aplicações locais, listas de termos locais, etc.)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hanging="360"/>
        <w:contextualSpacing w:val="1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Próximos passos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firstLine="0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eunião virtual para discussão de negócio sobre os perfis PIXv3 e PDQv3 - pontos descritos no ANEXO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eunião virtual específica para esclarecer a estrutura do documento openEHR, e como o mesmo será utilizado em conjunto com a especificação XDSb;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hanging="360"/>
        <w:contextualSpacing w:val="1"/>
        <w:jc w:val="both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Agenda de reuniões virtuais com vistas ao esclarecimento de dúvidas que surgirão durante as atividades técnicas de desenvolvimento das mensagens.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A</w:t>
      </w:r>
      <w:r w:rsidDel="00000000" w:rsidR="00000000" w:rsidRPr="00000000">
        <w:rPr>
          <w:rFonts w:ascii="Arial" w:cs="Arial" w:eastAsia="Arial" w:hAnsi="Arial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endpoints</w:t>
      </w:r>
      <w:r w:rsidDel="00000000" w:rsidR="00000000" w:rsidRPr="00000000">
        <w:rPr>
          <w:rFonts w:ascii="Arial" w:cs="Arial" w:eastAsia="Arial" w:hAnsi="Arial"/>
          <w:rtl w:val="0"/>
        </w:rPr>
        <w:t xml:space="preserve"> publicados pela Oracle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45" w:firstLine="0"/>
        <w:contextualSpacing w:val="0"/>
        <w:rPr>
          <w:rFonts w:ascii="Arial" w:cs="Arial" w:eastAsia="Arial" w:hAnsi="Arial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45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222222"/>
          <w:highlight w:val="white"/>
          <w:u w:val="single"/>
          <w:rtl w:val="0"/>
        </w:rPr>
        <w:t xml:space="preserve">PIX/PDQ v3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PIX manager   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http://54.83.54.83:8080/PIXManager_Service/PIXManager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PDQ Supplier  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http://54.83.54.83:8080/PDQSupplier_Service/PDQSupplier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u w:val="single"/>
          <w:rtl w:val="0"/>
        </w:rPr>
        <w:t xml:space="preserve">Repository Endpoints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Provide And Register Document Set.b (ITI-41)    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http://54.83.54.83:8001/hdr/xdsrepositoryb_Soap12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Retrieve Document (ITI-43)    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http://54.83.54.83:8001/hdr/xdsrepositoryb_Soap12</w:t>
        </w:r>
      </w:hyperlink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u w:val="single"/>
          <w:rtl w:val="0"/>
        </w:rPr>
        <w:t xml:space="preserve">Registry Endpoints</w:t>
      </w:r>
      <w:r w:rsidDel="00000000" w:rsidR="00000000" w:rsidRPr="00000000">
        <w:rPr>
          <w:rFonts w:ascii="Arial" w:cs="Arial" w:eastAsia="Arial" w:hAnsi="Arial"/>
          <w:color w:val="222222"/>
          <w:u w:val="singl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22222"/>
          <w:highlight w:val="white"/>
          <w:rtl w:val="0"/>
        </w:rPr>
        <w:t xml:space="preserve">Register Document Set-b (ITI-42), Registry Stored Query (ITI-18), Patient Identity Feed (HL7v3) (ITI-44)   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http://54.83.54.83:18080/hrl/regsvc</w:t>
        </w:r>
      </w:hyperlink>
      <w:r w:rsidDel="00000000" w:rsidR="00000000" w:rsidRPr="00000000">
        <w:fldChar w:fldCharType="begin"/>
        <w:instrText xml:space="preserve"> HYPERLINK "http://54.83.54.83:18080/hrl/regsvc"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B - </w:t>
      </w:r>
      <w:r w:rsidDel="00000000" w:rsidR="00000000" w:rsidRPr="00000000">
        <w:rPr>
          <w:rFonts w:ascii="Arial" w:cs="Arial" w:eastAsia="Arial" w:hAnsi="Arial"/>
          <w:rtl w:val="0"/>
        </w:rPr>
        <w:t xml:space="preserve">Tabela para mapeamento das classes e atributos 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-1077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PIX - ITI 44 (add new patient)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10.0" w:type="dxa"/>
        <w:jc w:val="left"/>
        <w:tblInd w:w="-1015.0" w:type="dxa"/>
        <w:tblLayout w:type="fixed"/>
        <w:tblLook w:val="0000"/>
      </w:tblPr>
      <w:tblGrid>
        <w:gridCol w:w="855"/>
        <w:gridCol w:w="4185"/>
        <w:gridCol w:w="5670"/>
        <w:tblGridChange w:id="0">
          <w:tblGrid>
            <w:gridCol w:w="855"/>
            <w:gridCol w:w="4185"/>
            <w:gridCol w:w="5670"/>
          </w:tblGrid>
        </w:tblGridChange>
      </w:tblGrid>
      <w:tr>
        <w:trPr>
          <w:trHeight w:val="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Nível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Wrapper de Transmissão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MCCI_MT000100UV01 – Send Message Payload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valor da iteração DEVE ser igual a (nome do elemento raiz da mensagem): 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PRPA_IN201301UV02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PRPA_IN201302UV02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valor 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processingModeCode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DEVE ser igual a “T” 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acceptAckCode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DEVE ser igual a “AL” 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DEVE haver apenas um elemento receiver.device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PRPAIN201301UV02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extends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PRPAIN201301UV02MCCIMT000100UV01Message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Atributos principais: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TS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creationTime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II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interactionId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processingCode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processingModeCode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acceptAckCode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List&lt;MCCIMT000100UV01Receiver&gt;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receiver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MCCIMT000100UV01Sender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sender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PRPAIN201301UV02MFMIMT700701UV01ControlActProcess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controlActProcess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-985.0" w:type="dxa"/>
        <w:tblLayout w:type="fixed"/>
        <w:tblLook w:val="0000"/>
      </w:tblPr>
      <w:tblGrid>
        <w:gridCol w:w="855"/>
        <w:gridCol w:w="4140"/>
        <w:gridCol w:w="5670"/>
        <w:tblGridChange w:id="0">
          <w:tblGrid>
            <w:gridCol w:w="855"/>
            <w:gridCol w:w="4140"/>
            <w:gridCol w:w="5670"/>
          </w:tblGrid>
        </w:tblGridChange>
      </w:tblGrid>
      <w:tr>
        <w:trPr>
          <w:trHeight w:val="6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Nível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Wrapper do Control Act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MFMI_MT700701UV01 – Master File / Registry 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Notification Control Act, Role Subject 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valor do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ControlActProcess.moodCode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deve ser igual a “EVN” 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elemento ControlActProcess.code DEVE ser igual 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PRPA_TE201301UV02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PRPA_TE201302UV02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valor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RegistrationEvent.statusCode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deve ser = “active” </w:t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relacionamento de act – expresso pelo elemento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replacementOf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não deve estar presente.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pStyle w:val="Heading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PRPAIN201301UV02MFMIMT700701UV01ControlActProcess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Atributos principais: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ActClassControlAct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XActMoodIntentEvent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moodCode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List&lt;PRPAIN201301UV02MFMIMT700701UV01Subject1&gt;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subject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-1066.0" w:type="dxa"/>
        <w:tblLayout w:type="fixed"/>
        <w:tblLook w:val="0000"/>
      </w:tblPr>
      <w:tblGrid>
        <w:gridCol w:w="900"/>
        <w:gridCol w:w="4140"/>
        <w:gridCol w:w="5670"/>
        <w:tblGridChange w:id="0">
          <w:tblGrid>
            <w:gridCol w:w="900"/>
            <w:gridCol w:w="4140"/>
            <w:gridCol w:w="56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Nível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Classes ( Wrapper do Control Act)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PRPAIN201301UV02MFMIMT700701UV01Subject1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PRPAIN201301UV02MFMIMT700701UV01RegistrationEvent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registrationEvent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typeCode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PRPAIN201301UV02MFMIMT700701UV01RegistrationEvent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PRPAIN201301UV02MFMIMT700701UV01Subject2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subject1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MFMIMT700701UV01Custodian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custodian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moodCode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PRPAIN201301UV02MFMIMT700701UV01Subject2</w:t>
            </w:r>
          </w:p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PRPAMT201301UV02Patient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patient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PRPAMT201301UV02Patient (patient)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statusCode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List&lt;CE&gt; confidentialityCode;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CE veryImportantPersonCode;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JAXBElement&lt;PRPAMT201301UV02Person&gt;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patientPerson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COCTMT150003UV03Organization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providerOrganization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PRPAMT201301UV02Person (patientPerson)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id;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List&lt;PN&gt;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ED desc;</w:t>
            </w:r>
          </w:p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List&lt;TEL&gt;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telecom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administrativeGenderCode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TS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birthTime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BL deceasedInd;</w:t>
            </w:r>
          </w:p>
          <w:p w:rsidR="00000000" w:rsidDel="00000000" w:rsidP="00000000" w:rsidRDefault="00000000" w:rsidRPr="00000000" w14:paraId="000000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TS deceasedTime;</w:t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BL multipleBirthInd;</w:t>
            </w:r>
          </w:p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protected INT multipleBirthOrderNumber;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List&lt;AD&gt;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addr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maritalStatusCode;</w:t>
            </w:r>
          </w:p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educationLevelCode;</w:t>
            </w:r>
          </w:p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disabilityCode;</w:t>
            </w:r>
          </w:p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livingArrangementCode;</w:t>
            </w:r>
          </w:p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religiousAffiliationCode;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raceCode;</w:t>
            </w:r>
          </w:p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ethnicGroupCode;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List&lt;PRPAMT201301UV02PatientOfOtherProvider&gt; asPatientOfOtherProvider;</w:t>
            </w:r>
          </w:p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List&lt;PRPAMT201301UV02Employee&gt; asEmployee;</w:t>
            </w:r>
          </w:p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List&lt;PRPAMT201301UV02Citizen&gt; asCitizen;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List&lt;PRPAMT201301UV02Student&gt; asStudent;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List&lt;PRPAMT201301UV02Member&gt; asMember;</w:t>
            </w:r>
          </w:p>
          <w:p w:rsidR="00000000" w:rsidDel="00000000" w:rsidP="00000000" w:rsidRDefault="00000000" w:rsidRPr="00000000" w14:paraId="000001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List&lt;PRPAMT201301UV02OtherIDs&gt;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asOtherIDs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List&lt;PRPAMT201301UV02ContactParty&gt; contactParty;</w:t>
            </w:r>
          </w:p>
          <w:p w:rsidR="00000000" w:rsidDel="00000000" w:rsidP="00000000" w:rsidRDefault="00000000" w:rsidRPr="00000000" w14:paraId="000001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List&lt;PRPAMT201301UV02Guardian&gt; guardian;</w:t>
            </w:r>
          </w:p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List&lt;PRPAMT201301UV02PersonalRelationship&gt;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personalRelationship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List&lt;PRPAMT201301UV02CareGiver&gt; careGiver;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JAXBElement&lt;PRPAMT201301UV02BirthPlace&gt;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sz w:val="20"/>
                <w:szCs w:val="20"/>
                <w:rtl w:val="0"/>
              </w:rPr>
              <w:t xml:space="preserve">birthPlace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List&lt;COCTMT670000UV04GuarantorRole&gt; guarantorRole;</w:t>
            </w:r>
          </w:p>
          <w:p w:rsidR="00000000" w:rsidDel="00000000" w:rsidP="00000000" w:rsidRDefault="00000000" w:rsidRPr="00000000" w14:paraId="000001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List&lt;PRPAMT201301UV02LanguageCommunication&gt; languageCommunication;</w:t>
            </w:r>
          </w:p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determinerCode;</w:t>
            </w:r>
          </w:p>
          <w:p w:rsidR="00000000" w:rsidDel="00000000" w:rsidP="00000000" w:rsidRDefault="00000000" w:rsidRPr="00000000" w14:paraId="000001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PN extends EN (name)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suffix </w:t>
            </w:r>
          </w:p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prefix </w:t>
            </w:r>
          </w:p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family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validTime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 (addr)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city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country </w:t>
            </w:r>
          </w:p>
          <w:p w:rsidR="00000000" w:rsidDel="00000000" w:rsidP="00000000" w:rsidRDefault="00000000" w:rsidRPr="00000000" w14:paraId="000001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deliveryInstallationType </w:t>
            </w:r>
          </w:p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deliveryInstallationArea </w:t>
            </w:r>
          </w:p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streetName </w:t>
            </w:r>
          </w:p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unitID </w:t>
            </w:r>
          </w:p>
          <w:p w:rsidR="00000000" w:rsidDel="00000000" w:rsidP="00000000" w:rsidRDefault="00000000" w:rsidRPr="00000000" w14:paraId="000001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precinct </w:t>
            </w:r>
          </w:p>
          <w:p w:rsidR="00000000" w:rsidDel="00000000" w:rsidP="00000000" w:rsidRDefault="00000000" w:rsidRPr="00000000" w14:paraId="000001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deliveryMode </w:t>
            </w:r>
          </w:p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useablePeriod 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houseNumber </w:t>
            </w:r>
          </w:p>
          <w:p w:rsidR="00000000" w:rsidDel="00000000" w:rsidP="00000000" w:rsidRDefault="00000000" w:rsidRPr="00000000" w14:paraId="000001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deliveryInstallationQualifier </w:t>
            </w:r>
          </w:p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streetNameType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state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postBox </w:t>
            </w:r>
          </w:p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careOf </w:t>
            </w:r>
          </w:p>
          <w:p w:rsidR="00000000" w:rsidDel="00000000" w:rsidP="00000000" w:rsidRDefault="00000000" w:rsidRPr="00000000" w14:paraId="000001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buildingNumberSuffix </w:t>
            </w:r>
          </w:p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postalCode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county </w:t>
            </w:r>
          </w:p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streetNameBase 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houseNumberNumeric </w:t>
            </w:r>
          </w:p>
          <w:p w:rsidR="00000000" w:rsidDel="00000000" w:rsidP="00000000" w:rsidRDefault="00000000" w:rsidRPr="00000000" w14:paraId="000001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censusTract </w:t>
            </w:r>
          </w:p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additionalLocator </w:t>
            </w:r>
          </w:p>
          <w:p w:rsidR="00000000" w:rsidDel="00000000" w:rsidP="00000000" w:rsidRDefault="00000000" w:rsidRPr="00000000" w14:paraId="000001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deliveryAddressLine </w:t>
            </w:r>
          </w:p>
          <w:p w:rsidR="00000000" w:rsidDel="00000000" w:rsidP="00000000" w:rsidRDefault="00000000" w:rsidRPr="00000000" w14:paraId="000001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deliveryModeIdentifier </w:t>
            </w:r>
          </w:p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unitType 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delimiter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streetAddressLine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PRPAMT201301UV02OtherIDs (asOtherIDs)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List&lt;CS&gt; realmCode; </w:t>
            </w:r>
          </w:p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II typeId; </w:t>
            </w:r>
          </w:p>
          <w:p w:rsidR="00000000" w:rsidDel="00000000" w:rsidP="00000000" w:rsidRDefault="00000000" w:rsidRPr="00000000" w14:paraId="000001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templateId; </w:t>
            </w:r>
          </w:p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statusCode; </w:t>
            </w:r>
          </w:p>
          <w:p w:rsidR="00000000" w:rsidDel="00000000" w:rsidP="00000000" w:rsidRDefault="00000000" w:rsidRPr="00000000" w14:paraId="000001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IVLTS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effectiveTime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COCTMT150002UV01Organization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scopingOrganization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nullFlavor; </w:t>
            </w:r>
          </w:p>
          <w:p w:rsidR="00000000" w:rsidDel="00000000" w:rsidP="00000000" w:rsidRDefault="00000000" w:rsidRPr="00000000" w14:paraId="000001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classCode;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PRPAMT201301UV02PersonalRelationship ( personalRelationship)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List&lt;CS&gt; realmCode; </w:t>
            </w:r>
          </w:p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II typeId; 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templateId; </w:t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id; </w:t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List&lt;AD&gt; addr; </w:t>
            </w:r>
          </w:p>
          <w:p w:rsidR="00000000" w:rsidDel="00000000" w:rsidP="00000000" w:rsidRDefault="00000000" w:rsidRPr="00000000" w14:paraId="000001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List&lt;TEL&gt; telecom; </w:t>
            </w:r>
          </w:p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statusCode; 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IVLTS effectiveTime; 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JAXBElement&lt;COCTMT030007UVPerson&gt;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relationshipHolder1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JAXBElement&lt;COCTMT030007UVNonPersonLivingSubject&gt; relationshipHolder2; </w:t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nullFlavor; </w:t>
            </w:r>
          </w:p>
          <w:p w:rsidR="00000000" w:rsidDel="00000000" w:rsidP="00000000" w:rsidRDefault="00000000" w:rsidRPr="00000000" w14:paraId="000001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classCode; </w:t>
            </w:r>
          </w:p>
          <w:p w:rsidR="00000000" w:rsidDel="00000000" w:rsidP="00000000" w:rsidRDefault="00000000" w:rsidRPr="00000000" w14:paraId="000001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Boolean negationInd;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CE extends CD (code)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ED originalText; </w:t>
            </w:r>
          </w:p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List&lt;CR&gt; qualifier; </w:t>
            </w:r>
          </w:p>
          <w:p w:rsidR="00000000" w:rsidDel="00000000" w:rsidP="00000000" w:rsidRDefault="00000000" w:rsidRPr="00000000" w14:paraId="000001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List&lt;CD&gt; translation; </w:t>
            </w:r>
          </w:p>
          <w:p w:rsidR="00000000" w:rsidDel="00000000" w:rsidP="00000000" w:rsidRDefault="00000000" w:rsidRPr="00000000" w14:paraId="000001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codeSystem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codeSystemName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codeSystemVersion; </w:t>
            </w:r>
          </w:p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String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displayName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COCTMT030007UVPerson (relationshipHolder1)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List&lt;CS&gt; realmCode; 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II typeId; </w:t>
            </w:r>
          </w:p>
          <w:p w:rsidR="00000000" w:rsidDel="00000000" w:rsidP="00000000" w:rsidRDefault="00000000" w:rsidRPr="00000000" w14:paraId="000001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templateId; </w:t>
            </w:r>
          </w:p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List&lt;II&gt; id; </w:t>
            </w:r>
          </w:p>
          <w:p w:rsidR="00000000" w:rsidDel="00000000" w:rsidP="00000000" w:rsidRDefault="00000000" w:rsidRPr="00000000" w14:paraId="000001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List&lt;EN&gt;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ED desc; </w:t>
            </w:r>
          </w:p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CS statusCode; 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administrativeGenderCode; </w:t>
            </w:r>
          </w:p>
          <w:p w:rsidR="00000000" w:rsidDel="00000000" w:rsidP="00000000" w:rsidRDefault="00000000" w:rsidRPr="00000000" w14:paraId="000001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TS birthTime; </w:t>
            </w:r>
          </w:p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BL deceasedInd; </w:t>
            </w:r>
          </w:p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TS deceasedTime; 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BL multipleBirthInd; </w:t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INT multipleBirthOrderNumber; 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BL organDonorInd; </w:t>
            </w:r>
          </w:p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maritalStatusCode; </w:t>
            </w:r>
          </w:p>
          <w:p w:rsidR="00000000" w:rsidDel="00000000" w:rsidP="00000000" w:rsidRDefault="00000000" w:rsidRPr="00000000" w14:paraId="000001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educationLevelCode; </w:t>
            </w:r>
          </w:p>
          <w:p w:rsidR="00000000" w:rsidDel="00000000" w:rsidP="00000000" w:rsidRDefault="00000000" w:rsidRPr="00000000" w14:paraId="000001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disabilityCode; </w:t>
            </w:r>
          </w:p>
          <w:p w:rsidR="00000000" w:rsidDel="00000000" w:rsidP="00000000" w:rsidRDefault="00000000" w:rsidRPr="00000000" w14:paraId="000001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livingArrangementCode; </w:t>
            </w:r>
          </w:p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CE religiousAffiliationCode; </w:t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raceCode; </w:t>
            </w:r>
          </w:p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List&lt;CE&gt; ethnicGroupCode; </w:t>
            </w:r>
          </w:p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List&lt;COCTMT030007UVEmployment&gt; asEmployment; </w:t>
            </w:r>
          </w:p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List&lt;COCTMT030007UVCitizen&gt; asCitizen; </w:t>
            </w:r>
          </w:p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List&lt;COCTMT030007UVStudent&gt; asStudent; </w:t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List&lt;COCTMT030007UVMember&gt; asMember; 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List&lt;COCTMT030007UVOtherIDs&gt; asOtherIDs; </w:t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List&lt;COCTMT030007UVContactParty&gt; contactParty; 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List&lt;COCTMT030007UVGuardian&gt; guardian; </w:t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List&lt;COCTMT030007UVGuarantor&gt; guarantor; 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JAXBElement&lt;COCTMT030007UVBirthPlace&gt; birthPlace; 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List&lt;COCTMT030007UVLanguageCommunication&gt; </w:t>
            </w: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languageCommunication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nullFlavor; 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List&lt;String&gt;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classCode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 </w:t>
            </w:r>
          </w:p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protected XDeterminerInstanceKind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determinerCode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C </w:t>
      </w:r>
      <w:r w:rsidDel="00000000" w:rsidR="00000000" w:rsidRPr="00000000">
        <w:rPr>
          <w:rFonts w:ascii="Arial" w:cs="Arial" w:eastAsia="Arial" w:hAnsi="Arial"/>
          <w:rtl w:val="0"/>
        </w:rPr>
        <w:t xml:space="preserve">– Considerações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Geração de numero CNS nacional por sistemas locais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Claudio Pignatari de Barros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 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É imprescindível que o Ministério da Saúde continue distribuindo números raízes para municípios que usem o SIGA.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(Neste texto referencio diretamente o SIGA, que é utilizado nos municípios de São Paulo e Campinas, porém creio que os argumentos se apliquem a qualquer sistema municipal de saúde (se é que existe) que tenha a capacidade e a acreditação para gerar números CNS únicos a partir de uma raiz fornecida pelo ministério.)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Ministério da Saúde distribui um cartão plástico ‘oficial’ do Governo Brasileiro no qual deve ser colada uma etiqueta com o número do Cartão Nacional de Saúde individual e único no país, que identifique o cidadão nos sistemas de saúde.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Tanto os municípios usuários do sistema SIGA quanto os do sistema CADWEB emitem esta etiqueta e, para isto, precisam ter este número CNS.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atual de interoperabilidade propõe que o SIGA gere um numero qualquer, interno do sistema, envie para o Datasus e este devolva o numero CNS oficial para emissão da etiqueta.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 proposta atenua as necessidades, mas não cobre cenário em que o SIGA não consiga, por qualquer motivo, se comunicar com o Cadastro Nacional.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Neste cenário, o SIGA precisa emitir um cartão ‘oficial’ do Governo Brasileiro e, consequentemente, precisa colocar um número que seja único no território nacional e que possa ser determinado localmente.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Isto só é possível através da distribuições de um número raiz, como já vem ocorrendo nos últimos 10 anos.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Vale lembrar que a própria razão de ser da estrutura do número raiz é justamente prover a capacidade de gerar um número único de uma forma desconectada e independente.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alternativas são tecnicamente inaceitáveis para o Município de São Paulo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(1) Emitir o cartão com um numero local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         O cartão diz “Válido em todo o território nacional” e um número local não o é.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         Há risco de ter cidadãos diferentes com o mesmo número, o que pode embaralhar seus prontuários e, no limite, causar problemas clínicos para estes cidadãos 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(2) Não emitir o cartão e pedir ao cidadão que volte outra hora.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         Extremamente desgastante para a administração municipal, tanto junto aos cidadãos quanto aos próprios profissionais de saúde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·         Indesculpável para um sistema de informação online que propões a adotar tecnologia de ponta.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Mensagem PIXv3 ITI-44 Patient Registry Record Added (PRPA_TE201301UV02)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Consideramos que os seguintes pontos merecem uma maior atenção para a finalização do padrão de mensagens PIX.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 formatação da mensagem foi percebida a necessidade de informar um identificador único do cidadão a ser cadastrado. Caso não conste o cadastro deste cidadão no repositório nacional, de acordo com a especificação, um CNS válido deverá ser enviado. Assim, mesmo para novos cadastros é necessária a criação de um CNS local válido que será enviado junto à mensagem para o ambiente nacional.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Dúvidas ocorreram em alguns campos da mensagem:</w:t>
      </w:r>
    </w:p>
    <w:p w:rsidR="00000000" w:rsidDel="00000000" w:rsidP="00000000" w:rsidRDefault="00000000" w:rsidRPr="00000000" w14:paraId="000001A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rtl w:val="0"/>
        </w:rPr>
        <w:t xml:space="preserve"> possui um atributo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@use</w:t>
      </w:r>
      <w:r w:rsidDel="00000000" w:rsidR="00000000" w:rsidRPr="00000000">
        <w:rPr>
          <w:rFonts w:ascii="Arial" w:cs="Arial" w:eastAsia="Arial" w:hAnsi="Arial"/>
          <w:rtl w:val="0"/>
        </w:rPr>
        <w:t xml:space="preserve"> onde são possíveis informar, por exemplo,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ASGN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nome social,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rtl w:val="0"/>
        </w:rPr>
        <w:t xml:space="preserve">, para nome da pessoa e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SRCH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nome de busca. A questão levantada é se a busca irá encontrar nomes independentemente do valor atribuído a este atributo ou se obrigatoriamente deve ser utilizado o valor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SRCH</w:t>
      </w:r>
      <w:r w:rsidDel="00000000" w:rsidR="00000000" w:rsidRPr="00000000">
        <w:rPr>
          <w:rFonts w:ascii="Arial" w:cs="Arial" w:eastAsia="Arial" w:hAnsi="Arial"/>
          <w:rtl w:val="0"/>
        </w:rPr>
        <w:t xml:space="preserve"> ao menos uma vez para um novo cidadão a ser cadastrado?</w:t>
      </w:r>
    </w:p>
    <w:p w:rsidR="00000000" w:rsidDel="00000000" w:rsidP="00000000" w:rsidRDefault="00000000" w:rsidRPr="00000000" w14:paraId="000001A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streetNameType</w:t>
      </w:r>
      <w:r w:rsidDel="00000000" w:rsidR="00000000" w:rsidRPr="00000000">
        <w:rPr>
          <w:rFonts w:ascii="Arial" w:cs="Arial" w:eastAsia="Arial" w:hAnsi="Arial"/>
          <w:rtl w:val="0"/>
        </w:rPr>
        <w:t xml:space="preserve"> receberá o valor literal da identificação do logradouro ou o código nacional correspondente, por exemplo "Rua" ou "81"?</w:t>
      </w:r>
    </w:p>
    <w:p w:rsidR="00000000" w:rsidDel="00000000" w:rsidP="00000000" w:rsidRDefault="00000000" w:rsidRPr="00000000" w14:paraId="000001A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O elemento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country</w:t>
      </w:r>
      <w:r w:rsidDel="00000000" w:rsidR="00000000" w:rsidRPr="00000000">
        <w:rPr>
          <w:rFonts w:ascii="Arial" w:cs="Arial" w:eastAsia="Arial" w:hAnsi="Arial"/>
          <w:rtl w:val="0"/>
        </w:rPr>
        <w:t xml:space="preserve"> contido em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addr</w:t>
      </w:r>
      <w:r w:rsidDel="00000000" w:rsidR="00000000" w:rsidRPr="00000000">
        <w:rPr>
          <w:rFonts w:ascii="Arial" w:cs="Arial" w:eastAsia="Arial" w:hAnsi="Arial"/>
          <w:rtl w:val="0"/>
        </w:rPr>
        <w:t xml:space="preserve"> do elemento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birthPlace</w:t>
      </w:r>
      <w:r w:rsidDel="00000000" w:rsidR="00000000" w:rsidRPr="00000000">
        <w:rPr>
          <w:rFonts w:ascii="Arial" w:cs="Arial" w:eastAsia="Arial" w:hAnsi="Arial"/>
          <w:rtl w:val="0"/>
        </w:rPr>
        <w:t xml:space="preserve"> poderá ser preenchido através do sistema SIGA-SAÚDE CAMPINAS, já que em nosso cadastramento é obrigatório selecionar o país de nascimento. Porém o SIGA-SAÚDE SÃO PAULO não possui tal campo, apenas se identifica que um cidadão é estrangeiro. No caso de estrangeiros, onde o país de nascimento não foi informado, qual o valor a ser aplicado neste campo?</w:t>
      </w:r>
    </w:p>
    <w:p w:rsidR="00000000" w:rsidDel="00000000" w:rsidP="00000000" w:rsidRDefault="00000000" w:rsidRPr="00000000" w14:paraId="000001A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 ser criado um elemento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personalRelationship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o pai e um para a mãe, quando os dois forem informados?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Algumas análises adicionais discutidas que devem ser consideradas são: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Não foi encontrada uma correspondência entre as regras de validação do sistema CADWEB e o documento do PIX. Qual será a regra utilizada, por exemplo, campos como telefone, sexo e data de nascimento são obrigatórios no CADWEB, porém não são na descrição da mensagem a ser enviada.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Devem ser criados novos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OIDs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a identificação de partes da documentação identificadora de um paciente. Por exemplo a UF de uma habilitação de motorista. Todas as certidões, casamento, nascimento entre outras, possuem o modelo antigo e o modelo novo. Assim como no primeiro item é importante verificar no sistema CADWEB quais regras estão em uso.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extremamente importante que o ambiente para homologação das mensagens enviadas seja criado para que possamos continuar o trabalho. Destaco que um tempo hábil será necessário para que as mensagens criadas sejam enviadas e os resultados destes envios seja avaliada. Se possível, um prazo para a liberação deste ambiente, para fins de planejamento, deveria ser comunicado pelos organizadores do projeto.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Check list pendências (a completar pós reuniões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virtuais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95.0" w:type="dxa"/>
        <w:jc w:val="left"/>
        <w:tblInd w:w="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600"/>
      </w:tblPr>
      <w:tblGrid>
        <w:gridCol w:w="6135"/>
        <w:gridCol w:w="960"/>
        <w:gridCol w:w="1200"/>
        <w:tblGridChange w:id="0">
          <w:tblGrid>
            <w:gridCol w:w="6135"/>
            <w:gridCol w:w="96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1) Merge - discutir as regras de negócios, profundamente, pensando no cenário nacional.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PIX/PDQ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2) Discutir regras de negócio para consulta: ex.: só 1 nome, como Maria, vai permitir? Limitar pelo número de retornos?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PIX/PDQ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3) Patient Identifier Cross-referencing (PIX) - definir os diferentes domínios que farão parte do PIX (números de cartão gerados pelos sistemas externos, diferentes sistemas do DATASUS com ID diferentes do CNS,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4) Opção Pediatric Demographics - a discutir; vai gerar cartão para RN, sem registro? Deixar para o sistema local até ter o registro?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5) Fixar o grau de matching desejado (PDQ)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8) Nome social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PIX/PDQ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9) Lista de OIDS documentos - faltam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PIX/PDQ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10) Regras de validação com o CADWEB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PIX/PDQ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11) AuthorRole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XDS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NEGÓCIO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76" w:lineRule="auto"/>
              <w:contextualSpacing w:val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contextualSpacing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6">
    <w:lvl w:ilvl="0">
      <w:start w:val="3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7">
    <w:lvl w:ilvl="0">
      <w:start w:val="3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▪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bullet"/>
      <w:lvlText w:val="▪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3"/>
      <w:numFmt w:val="bullet"/>
      <w:lvlText w:val="-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0" w:firstLine="0"/>
      <w:contextualSpacing w:val="0"/>
    </w:pPr>
    <w:rPr>
      <w:rFonts w:ascii="Times New Roman" w:cs="Times New Roman" w:eastAsia="Times New Roman" w:hAnsi="Times New Roman"/>
      <w:b w:val="0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8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54.83.54.83:8001/hdr/xdsrepositoryb_Soap12" TargetMode="External"/><Relationship Id="rId10" Type="http://schemas.openxmlformats.org/officeDocument/2006/relationships/hyperlink" Target="http://54.83.54.83:8001/hdr/xdsrepositoryb_Soap12" TargetMode="External"/><Relationship Id="rId12" Type="http://schemas.openxmlformats.org/officeDocument/2006/relationships/hyperlink" Target="http://54.83.54.83:18080/hrl/regsvc" TargetMode="External"/><Relationship Id="rId9" Type="http://schemas.openxmlformats.org/officeDocument/2006/relationships/hyperlink" Target="http://54.83.54.83:8080/PDQSupplier_Service/PDQSupplie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54.83.54.83:8080/PIXManager_Service/PIXMana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