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80" w:line="24" w:lineRule="auto"/>
      </w:pPr>
      <w:r>
        <w:rPr>
          <w:rFonts w:ascii="Helvetica Neue" w:hAnsi="Helvetica Neue" w:eastAsia="맑은 고딕"/>
          <w:color w:val="FFFFFF"/>
          <w:sz w:val="2"/>
        </w:rPr>
        <w:t xml:space="preserve"> </w:t>
      </w:r>
    </w:p>
    <w:p>
      <w:pPr>
        <w:pStyle w:val="Title"/>
        <w:spacing w:after="60"/>
      </w:pPr>
      <w:r>
        <w:rPr>
          <w:rFonts w:ascii="Helvetica Neue" w:hAnsi="Helvetica Neue" w:eastAsia="맑은 고딕"/>
          <w:b w:val="0"/>
          <w:color w:val="5B7085"/>
          <w:sz w:val="54"/>
        </w:rPr>
        <w:t>iM 파트너</w:t>
      </w:r>
    </w:p>
    <w:p>
      <w:pPr>
        <w:pStyle w:val="Title"/>
        <w:spacing w:after="140"/>
      </w:pPr>
      <w:r>
        <w:rPr>
          <w:rFonts w:ascii="Helvetica Neue" w:hAnsi="Helvetica Neue" w:eastAsia="맑은 고딕"/>
          <w:b/>
          <w:color w:val="082A4A"/>
          <w:sz w:val="62"/>
        </w:rPr>
        <w:t>핵심 데이터 근거 자료</w:t>
      </w:r>
    </w:p>
    <w:p>
      <w:pPr>
        <w:spacing w:after="800"/>
      </w:pPr>
      <w:r>
        <w:rPr>
          <w:rFonts w:ascii="Helvetica Neue" w:hAnsi="Helvetica Neue" w:eastAsia="맑은 고딕"/>
          <w:b w:val="0"/>
          <w:color w:val="5B7085"/>
          <w:sz w:val="22"/>
        </w:rPr>
        <w:t>본선 발표 제안 배경 · 제출용 검증본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" w:type="dxa"/>
              <w:start w:w="0" w:type="dxa"/>
              <w:bottom w:w="25" w:type="dxa"/>
              <w:end w:w="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검토 상태</w:t>
            </w:r>
          </w:p>
        </w:tc>
        <w:tc>
          <w:tcPr>
            <w:tcW w:type="dxa" w:w="33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" w:type="dxa"/>
              <w:start w:w="0" w:type="dxa"/>
              <w:bottom w:w="25" w:type="dxa"/>
              <w:end w:w="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분석 범위</w:t>
            </w:r>
          </w:p>
        </w:tc>
        <w:tc>
          <w:tcPr>
            <w:tcW w:type="dxa" w:w="33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10" w:type="dxa"/>
              <w:start w:w="0" w:type="dxa"/>
              <w:bottom w:w="25" w:type="dxa"/>
              <w:end w:w="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최종 갱신</w:t>
            </w:r>
          </w:p>
        </w:tc>
      </w:tr>
      <w:tr>
        <w:tc>
          <w:tcPr>
            <w:tcW w:type="dxa" w:w="33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80" w:type="dxa"/>
              <w:end w:w="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 w:val="0"/>
                <w:color w:val="233447"/>
                <w:sz w:val="18"/>
              </w:rPr>
              <w:t>조건부 사용 가능</w:t>
            </w:r>
          </w:p>
        </w:tc>
        <w:tc>
          <w:tcPr>
            <w:tcW w:type="dxa" w:w="33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80" w:type="dxa"/>
              <w:end w:w="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 w:val="0"/>
                <w:color w:val="233447"/>
                <w:sz w:val="18"/>
              </w:rPr>
              <w:t>전국 + 대구 집계자료</w:t>
            </w:r>
          </w:p>
        </w:tc>
        <w:tc>
          <w:tcPr>
            <w:tcW w:type="dxa" w:w="33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80" w:type="dxa"/>
              <w:end w:w="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 w:val="0"/>
                <w:color w:val="233447"/>
                <w:sz w:val="18"/>
              </w:rPr>
              <w:t>2026.09.08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Helvetica Neue" w:hAnsi="Helvetica Neue" w:eastAsia="맑은 고딕"/>
          <w:b/>
          <w:color w:val="5B7085"/>
          <w:sz w:val="20"/>
        </w:rPr>
        <w:t>검증 상태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448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5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5"/>
              </w:rPr>
              <w:t>검증 항목</w:t>
            </w:r>
          </w:p>
        </w:tc>
        <w:tc>
          <w:tcPr>
            <w:tcW w:type="dxa" w:w="1080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5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6623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5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5"/>
              </w:rPr>
              <w:t>판정 근거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문서 ↔ 내장 이미지</w:t>
            </w:r>
          </w:p>
        </w:tc>
        <w:tc>
          <w:tcPr>
            <w:tcW w:type="dxa" w:w="1080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확인</w:t>
            </w:r>
          </w:p>
        </w:tc>
        <w:tc>
          <w:tcPr>
            <w:tcW w:type="dxa" w:w="6623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p.5·11·12의 OOXML 관계와 캡션·본문 일치 확인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내장 이미지 ↔ 시각화 폴더</w:t>
            </w:r>
          </w:p>
        </w:tc>
        <w:tc>
          <w:tcPr>
            <w:tcW w:type="dxa" w:w="1080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확인</w:t>
            </w:r>
          </w:p>
        </w:tc>
        <w:tc>
          <w:tcPr>
            <w:tcW w:type="dxa" w:w="6623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추출 PNG와 독립 보관 PNG의 SHA-256 일치 확인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원본 CSV·IPYNB 재현</w:t>
            </w:r>
          </w:p>
        </w:tc>
        <w:tc>
          <w:tcPr>
            <w:tcW w:type="dxa" w:w="1080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미확인</w:t>
            </w:r>
          </w:p>
        </w:tc>
        <w:tc>
          <w:tcPr>
            <w:tcW w:type="dxa" w:w="6623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프로젝트 폴더에 원자료·노트북이 없어 수치 재계산 불가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기능 PDF 예시 수치</w:t>
            </w:r>
          </w:p>
        </w:tc>
        <w:tc>
          <w:tcPr>
            <w:tcW w:type="dxa" w:w="1080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제외</w:t>
            </w:r>
          </w:p>
        </w:tc>
        <w:tc>
          <w:tcPr>
            <w:tcW w:type="dxa" w:w="6623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예상 잔고·건강도·순이익·절감액 등 시나리오 수치 미사용</w:t>
            </w:r>
          </w:p>
        </w:tc>
      </w:tr>
    </w:tbl>
    <w:p>
      <w:pPr>
        <w:pStyle w:val="Heading2"/>
        <w:keepNext/>
        <w:spacing w:before="160" w:after="60"/>
      </w:pPr>
      <w:r>
        <w:rPr>
          <w:rFonts w:ascii="Helvetica Neue" w:hAnsi="Helvetica Neue" w:eastAsia="맑은 고딕"/>
          <w:b/>
          <w:color w:val="5B7085"/>
          <w:sz w:val="20"/>
        </w:rPr>
        <w:t>이 자료가 지지하는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152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082A4A"/>
                <w:sz w:val="20"/>
              </w:rPr>
              <w:t>집계 데이터는 ‘경영 압박의 지속’과 ‘업종·지역·요일별 패턴 차이’를 지지합니다.</w:t>
              <w:br/>
            </w:r>
            <w:r>
              <w:rPr>
                <w:rFonts w:ascii="Helvetica Neue" w:hAnsi="Helvetica Neue" w:eastAsia="맑은 고딕"/>
                <w:b/>
                <w:color w:val="082A4A"/>
                <w:sz w:val="20"/>
              </w:rPr>
              <w:t>다만 개별 점포의 위험 시점과 기능 효과까지 직접 입증하지는 않습니다.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keepNext/>
        <w:spacing w:before="0" w:after="80"/>
      </w:pPr>
      <w:r>
        <w:rPr>
          <w:rFonts w:ascii="Helvetica Neue" w:hAnsi="Helvetica Neue" w:eastAsia="맑은 고딕"/>
          <w:b/>
          <w:color w:val="082A4A"/>
          <w:sz w:val="33"/>
        </w:rPr>
        <w:t>01.  전국 경영 압박: 29개월 연속 같은 방향의 체감</w:t>
      </w:r>
    </w:p>
    <w:p>
      <w:pPr>
        <w:keepNext/>
        <w:spacing w:before="0" w:after="120" w:line="259" w:lineRule="auto"/>
      </w:pPr>
      <w:r>
        <w:rPr>
          <w:rFonts w:ascii="Helvetica Neue" w:hAnsi="Helvetica Neue" w:eastAsia="맑은 고딕"/>
          <w:b w:val="0"/>
          <w:color w:val="5B7085"/>
          <w:sz w:val="18"/>
        </w:rPr>
        <w:t>가장 강한 1순위 근거 · 장기성과 방향성이 명확한 전국 집계지표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152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082A4A"/>
                <w:sz w:val="20"/>
              </w:rPr>
              <w:t>2024.01–2026.05 전 기간(29개월), 매출 BSI÷100 지수는 1 미만이고 비용 지수는 1을 웃돌았습니다.</w:t>
            </w:r>
          </w:p>
        </w:tc>
      </w:tr>
    </w:tbl>
    <w:p>
      <w:pPr>
        <w:spacing w:before="80" w:after="40"/>
        <w:jc w:val="center"/>
      </w:pPr>
      <w:r>
        <w:drawing>
          <wp:inline>
            <wp:extent cx="6263640" cy="3543953"/>
            <wp:docPr id="1" name="Picture 1" descr="전국 소상공인 최근 29개월 매출 체감과 비용 상황 지수" title="전국 소상공인 최근 29개월 매출 체감과 비용 상황 지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전국_29개월_매출비용_BS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4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5" w:lineRule="auto"/>
      </w:pPr>
      <w:r>
        <w:rPr>
          <w:rFonts w:ascii="Helvetica Neue" w:hAnsi="Helvetica Neue" w:eastAsia="맑은 고딕"/>
          <w:color w:val="5B7085"/>
          <w:sz w:val="14"/>
        </w:rPr>
        <w:t>출처: 인사이트_데이터 1.docx, p.5, 그림 1. 이미지 내 원자료 표기: 소상공인 경기동향.csv · 2024.01–2026.05 · 1.0은 보합 기준.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cantSplit/>
        </w:trPr>
        <w:tc>
          <w:tcPr>
            <w:tcW w:type="dxa" w:w="5068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2026.05 매출 BSI÷100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b/>
                <w:color w:val="082A4A"/>
                <w:sz w:val="36"/>
              </w:rPr>
              <w:t>0.69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color w:val="233447"/>
                <w:sz w:val="14"/>
              </w:rPr>
              <w:t>매출 감소 응답이 우세한 방향</w:t>
            </w:r>
          </w:p>
        </w:tc>
        <w:tc>
          <w:tcPr>
            <w:tcW w:type="dxa" w:w="5068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2026.05 비용 BSI÷100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b/>
                <w:color w:val="082A4A"/>
                <w:sz w:val="36"/>
              </w:rPr>
              <w:t>1.19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color w:val="233447"/>
                <w:sz w:val="14"/>
              </w:rPr>
              <w:t>비용 증가 응답이 우세한 방향</w:t>
            </w:r>
          </w:p>
        </w:tc>
      </w:tr>
    </w:tbl>
    <w:p>
      <w:pPr>
        <w:pStyle w:val="Heading2"/>
        <w:keepNext/>
        <w:spacing w:before="100" w:after="40"/>
      </w:pPr>
      <w:r>
        <w:rPr>
          <w:rFonts w:ascii="Helvetica Neue" w:hAnsi="Helvetica Neue" w:eastAsia="맑은 고딕"/>
          <w:b/>
          <w:color w:val="5B7085"/>
          <w:sz w:val="20"/>
        </w:rPr>
        <w:t>정의·범위·안전선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제공 문서 확인 결과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제공 문서 기준, 29개월 모두 매출 지수 &lt; 1, 비용 지수 &gt; 1입니다. 원자료 재계산은 미완료입니다.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해석 가능한 범위</w:t>
            </w:r>
          </w:p>
        </w:tc>
        <w:tc>
          <w:tcPr>
            <w:tcW w:type="dxa" w:w="8164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표시값은 원자료 BSI를 100으로 나눈 응답 기반 체감지수입니다. 0.69는 실제 매출 31% 감소를, 1.19는 비용 19% 증가를 뜻하지 않습니다.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서비스 기획 연결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평균적 압박을 배경 신호로 쓰고, 점포 매출·지출을 함께 읽는 분석과 분석요약 PDF를 설계할 근거가 됩니다.</w:t>
            </w:r>
          </w:p>
        </w:tc>
      </w:tr>
    </w:tbl>
    <w:p>
      <w:pPr>
        <w:keepLines/>
        <w:spacing w:before="0" w:after="0" w:line="269" w:lineRule="auto"/>
      </w:pPr>
      <w:r>
        <w:rPr>
          <w:rFonts w:ascii="Helvetica Neue" w:hAnsi="Helvetica Neue" w:eastAsia="맑은 고딕"/>
          <w:b/>
          <w:color w:val="082A4A"/>
          <w:sz w:val="16"/>
        </w:rPr>
        <w:t>발표 표현:</w:t>
      </w:r>
      <w:r>
        <w:rPr>
          <w:rFonts w:ascii="Helvetica Neue" w:hAnsi="Helvetica Neue" w:eastAsia="맑은 고딕"/>
          <w:color w:val="233447"/>
          <w:sz w:val="16"/>
        </w:rPr>
        <w:t xml:space="preserve"> “전국 소상공인의 매출 부진 체감과 비용 부담 체감이 29개월 동안 같은 방향으로 이어졌습니다.”</w:t>
      </w:r>
    </w:p>
    <w:p>
      <w:pPr>
        <w:spacing w:before="0" w:after="0"/>
      </w:pPr>
      <w:r>
        <w:br w:type="page"/>
      </w:r>
    </w:p>
    <w:p>
      <w:pPr>
        <w:pStyle w:val="Heading1"/>
        <w:keepNext/>
        <w:spacing w:before="0" w:after="80"/>
      </w:pPr>
      <w:r>
        <w:rPr>
          <w:rFonts w:ascii="Helvetica Neue" w:hAnsi="Helvetica Neue" w:eastAsia="맑은 고딕"/>
          <w:b/>
          <w:color w:val="082A4A"/>
          <w:sz w:val="33"/>
        </w:rPr>
        <w:t>02.  지역 차이: 같은 업종도 상대 객단가 폭이 다름</w:t>
      </w:r>
    </w:p>
    <w:p>
      <w:pPr>
        <w:keepNext/>
        <w:spacing w:before="0" w:after="120" w:line="259" w:lineRule="auto"/>
      </w:pPr>
      <w:r>
        <w:rPr>
          <w:rFonts w:ascii="Helvetica Neue" w:hAnsi="Helvetica Neue" w:eastAsia="맑은 고딕"/>
          <w:b w:val="0"/>
          <w:color w:val="5B7085"/>
          <w:sz w:val="18"/>
        </w:rPr>
        <w:t>대구 18개 업종·9개 구군 관측 범위 · 아래 그림은 연간 매출 상위 9개 업종만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152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082A4A"/>
                <w:sz w:val="20"/>
              </w:rPr>
              <w:t>대구 평균 하나로는 같은 업종 안의 구군별 소비 단가 구조 차이를 설명하기 어렵습니다.</w:t>
            </w:r>
          </w:p>
        </w:tc>
      </w:tr>
    </w:tbl>
    <w:p>
      <w:pPr>
        <w:spacing w:before="80" w:after="40"/>
        <w:jc w:val="center"/>
      </w:pPr>
      <w:r>
        <w:drawing>
          <wp:inline>
            <wp:extent cx="6327648" cy="3474900"/>
            <wp:docPr id="2" name="Picture 2" descr="대구 연간 매출 상위 9개 업종의 9개 구군별 상대 객단가" title="대구 연간 매출 상위 9개 업종의 9개 구군별 상대 객단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대구_업종별_9구군_상대객단가_상위9업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47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5" w:lineRule="auto"/>
      </w:pPr>
      <w:r>
        <w:rPr>
          <w:rFonts w:ascii="Helvetica Neue" w:hAnsi="Helvetica Neue" w:eastAsia="맑은 고딕"/>
          <w:color w:val="5B7085"/>
          <w:sz w:val="14"/>
        </w:rPr>
        <w:t>출처: 인사이트_데이터 1.docx, p.11, 그림 6. 이미지 내 원자료 표기: 05_대구_시군구별_업종중분류_상세.csv · 2025년 · 9개 업종. 문서 본문은 18개 업종과 9개 구군을 분석 범위로 설명하며, 모든 조합의 완전 관측을 뜻하지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cantSplit/>
        </w:trPr>
        <w:tc>
          <w:tcPr>
            <w:tcW w:type="dxa" w:w="5068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음식점 상대 객단가 범위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b/>
                <w:color w:val="082A4A"/>
                <w:sz w:val="36"/>
              </w:rPr>
              <w:t>0.89–1.12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color w:val="233447"/>
                <w:sz w:val="14"/>
              </w:rPr>
              <w:t>업종 내 구군 중앙값 1.0 기준</w:t>
            </w:r>
          </w:p>
        </w:tc>
        <w:tc>
          <w:tcPr>
            <w:tcW w:type="dxa" w:w="5068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일반병원 상대 객단가 범위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b/>
                <w:color w:val="082A4A"/>
                <w:sz w:val="36"/>
              </w:rPr>
              <w:t>0.44–1.70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color w:val="233447"/>
                <w:sz w:val="14"/>
              </w:rPr>
              <w:t>업종별 지역 편차가 서로 다름</w:t>
            </w:r>
          </w:p>
        </w:tc>
      </w:tr>
    </w:tbl>
    <w:p>
      <w:pPr>
        <w:pStyle w:val="Heading2"/>
        <w:keepNext/>
        <w:spacing w:before="100" w:after="40"/>
      </w:pPr>
      <w:r>
        <w:rPr>
          <w:rFonts w:ascii="Helvetica Neue" w:hAnsi="Helvetica Neue" w:eastAsia="맑은 고딕"/>
          <w:b/>
          <w:color w:val="5B7085"/>
          <w:sz w:val="20"/>
        </w:rPr>
        <w:t>정의·범위·안전선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정의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각 업종에서 구군 중앙값을 1.0으로 둔 상대 객단가입니다. 실제 원화 객단가가 아닙니다.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보여주는 문제</w:t>
            </w:r>
          </w:p>
        </w:tc>
        <w:tc>
          <w:tcPr>
            <w:tcW w:type="dxa" w:w="8164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업종별로 구군 간 상대 폭이 다르므로 ‘대구 평균’만으로 가격·상품 구성·상권 대응을 안내하면 정보가 거칠어질 수 있습니다.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연결 가능한 기능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업종·지역 집계를 보조 기준으로 쓰는 비교 설계입니다. 실제 점포·지도 연동 뒤 가격·메뉴·마케팅 점검 순서를 검증해야 합니다.</w:t>
            </w:r>
          </w:p>
        </w:tc>
      </w:tr>
    </w:tbl>
    <w:p>
      <w:pPr>
        <w:keepLines/>
        <w:spacing w:before="0" w:after="0" w:line="269" w:lineRule="auto"/>
      </w:pPr>
      <w:r>
        <w:rPr>
          <w:rFonts w:ascii="Helvetica Neue" w:hAnsi="Helvetica Neue" w:eastAsia="맑은 고딕"/>
          <w:b/>
          <w:color w:val="082A4A"/>
          <w:sz w:val="15"/>
        </w:rPr>
        <w:t>주의:</w:t>
      </w:r>
      <w:r>
        <w:rPr>
          <w:rFonts w:ascii="Helvetica Neue" w:hAnsi="Helvetica Neue" w:eastAsia="맑은 고딕"/>
          <w:color w:val="233447"/>
          <w:sz w:val="15"/>
        </w:rPr>
        <w:t xml:space="preserve"> 상대지수를 매출액·수익성 차이로 표현하거나, 2025년 단면 결과를 추세·인과로 해석하지 않습니다. 그림의 ‘교통’ 36.46 같은 극단값은 본문 근거에서 제외합니다.</w:t>
      </w:r>
    </w:p>
    <w:p>
      <w:pPr>
        <w:spacing w:before="0" w:after="0"/>
      </w:pPr>
      <w:r>
        <w:br w:type="page"/>
      </w:r>
    </w:p>
    <w:p>
      <w:pPr>
        <w:pStyle w:val="Heading1"/>
        <w:keepNext/>
        <w:spacing w:before="0" w:after="80"/>
      </w:pPr>
      <w:r>
        <w:rPr>
          <w:rFonts w:ascii="Helvetica Neue" w:hAnsi="Helvetica Neue" w:eastAsia="맑은 고딕"/>
          <w:b/>
          <w:color w:val="082A4A"/>
          <w:sz w:val="33"/>
        </w:rPr>
        <w:t>03.  타이밍 차이: 업종별 매출 집중 요일이 다름</w:t>
      </w:r>
    </w:p>
    <w:p>
      <w:pPr>
        <w:keepNext/>
        <w:spacing w:before="0" w:after="120" w:line="259" w:lineRule="auto"/>
      </w:pPr>
      <w:r>
        <w:rPr>
          <w:rFonts w:ascii="Helvetica Neue" w:hAnsi="Helvetica Neue" w:eastAsia="맑은 고딕"/>
          <w:b w:val="0"/>
          <w:color w:val="5B7085"/>
          <w:sz w:val="18"/>
        </w:rPr>
        <w:t>2025년 요일별 관측이 모두 있는 16개 업종 분석 · 아래 그림은 연간 매출 상위 8개 업종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152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082A4A"/>
                <w:sz w:val="20"/>
              </w:rPr>
              <w:t>같은 ‘주간 운영’이라도 업종마다 수요가 집중되는 요일이 달라 실행 시점이 달라집니다.</w:t>
            </w:r>
          </w:p>
        </w:tc>
      </w:tr>
    </w:tbl>
    <w:p>
      <w:pPr>
        <w:spacing w:before="80" w:after="40"/>
        <w:jc w:val="center"/>
      </w:pPr>
      <w:r>
        <w:drawing>
          <wp:inline>
            <wp:extent cx="6327648" cy="3407480"/>
            <wp:docPr id="3" name="Picture 3" descr="대구 연간 매출 상위 8개 업종의 요일별 매출지수" title="대구 연간 매출 상위 8개 업종의 요일별 매출지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대구_업종별_요일매출지수_상위8업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40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5" w:lineRule="auto"/>
      </w:pPr>
      <w:r>
        <w:rPr>
          <w:rFonts w:ascii="Helvetica Neue" w:hAnsi="Helvetica Neue" w:eastAsia="맑은 고딕"/>
          <w:color w:val="5B7085"/>
          <w:sz w:val="14"/>
        </w:rPr>
        <w:t>출처: 인사이트_데이터 1.docx, p.12, 그림 7. 이미지 내 원자료 표기: 02_요일코드별_업종중분류_상세.csv · 2025년 · 8개 업종. 업종 내 요일 평균=1.0.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cantSplit/>
        </w:trPr>
        <w:tc>
          <w:tcPr>
            <w:tcW w:type="dxa" w:w="5068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음식점 일요일 매출지수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b/>
                <w:color w:val="082A4A"/>
                <w:sz w:val="36"/>
              </w:rPr>
              <w:t>1.53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color w:val="233447"/>
                <w:sz w:val="14"/>
              </w:rPr>
              <w:t>업종 내 요일 평균 대비 상대지수</w:t>
            </w:r>
          </w:p>
        </w:tc>
        <w:tc>
          <w:tcPr>
            <w:tcW w:type="dxa" w:w="5068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Helvetica Neue" w:hAnsi="Helvetica Neue" w:eastAsia="맑은 고딕"/>
                <w:b/>
                <w:color w:val="5B7085"/>
                <w:sz w:val="15"/>
              </w:rPr>
              <w:t>학원 화요일 매출지수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b/>
                <w:color w:val="082A4A"/>
                <w:sz w:val="36"/>
              </w:rPr>
              <w:t>1.40</w:t>
            </w:r>
          </w:p>
          <w:p>
            <w:pPr>
              <w:spacing w:after="0"/>
              <w:jc w:val="center"/>
            </w:pPr>
            <w:r>
              <w:rPr>
                <w:rFonts w:ascii="Helvetica Neue" w:hAnsi="Helvetica Neue" w:eastAsia="맑은 고딕"/>
                <w:color w:val="233447"/>
                <w:sz w:val="14"/>
              </w:rPr>
              <w:t>업종별 집중 요일이 다름</w:t>
            </w:r>
          </w:p>
        </w:tc>
      </w:tr>
    </w:tbl>
    <w:p>
      <w:pPr>
        <w:pStyle w:val="Heading2"/>
        <w:keepNext/>
        <w:spacing w:before="100" w:after="40"/>
      </w:pPr>
      <w:r>
        <w:rPr>
          <w:rFonts w:ascii="Helvetica Neue" w:hAnsi="Helvetica Neue" w:eastAsia="맑은 고딕"/>
          <w:b/>
          <w:color w:val="5B7085"/>
          <w:sz w:val="20"/>
        </w:rPr>
        <w:t>정의·범위·안전선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정의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각 업종의 요일 평균을 1.0으로 둔 상대 매출지수입니다. 실제 매출액 또는 개별 점포의 피크를 뜻하지 않습니다.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보여주는 문제</w:t>
            </w:r>
          </w:p>
        </w:tc>
        <w:tc>
          <w:tcPr>
            <w:tcW w:type="dxa" w:w="8164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평균 정보만으로는 발주·인력·프로모션을 언제 조정할지 결정하기 어렵고, 업종별 기본 패턴도 서로 다릅니다.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연결 가능한 기능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5"/>
              </w:rPr>
              <w:t>요일 패턴을 점포 POS로 재확인한 뒤 발주·근무·프로모션 일정의 우선순위를 제안하는 ‘실행 행동’ 설계로 연결할 수 있습니다.</w:t>
            </w:r>
          </w:p>
        </w:tc>
      </w:tr>
    </w:tbl>
    <w:p>
      <w:pPr>
        <w:keepLines/>
        <w:spacing w:before="0" w:after="0" w:line="269" w:lineRule="auto"/>
      </w:pPr>
      <w:r>
        <w:rPr>
          <w:rFonts w:ascii="Helvetica Neue" w:hAnsi="Helvetica Neue" w:eastAsia="맑은 고딕"/>
          <w:b/>
          <w:color w:val="082A4A"/>
          <w:sz w:val="16"/>
        </w:rPr>
        <w:t>주의:</w:t>
      </w:r>
      <w:r>
        <w:rPr>
          <w:rFonts w:ascii="Helvetica Neue" w:hAnsi="Helvetica Neue" w:eastAsia="맑은 고딕"/>
          <w:color w:val="233447"/>
          <w:sz w:val="16"/>
        </w:rPr>
        <w:t xml:space="preserve"> 요일 패턴은 ‘언제 점검할지’에 대한 단서입니다. 원인이나 점포의 향후 자금 상태를 직접 예측한 결과는 아닙니다.</w:t>
      </w:r>
    </w:p>
    <w:p>
      <w:pPr>
        <w:spacing w:before="0" w:after="0"/>
      </w:pPr>
      <w:r>
        <w:br w:type="page"/>
      </w:r>
    </w:p>
    <w:p>
      <w:pPr>
        <w:pStyle w:val="Heading1"/>
        <w:keepNext/>
        <w:spacing w:before="0" w:after="80"/>
      </w:pPr>
      <w:r>
        <w:rPr>
          <w:rFonts w:ascii="Helvetica Neue" w:hAnsi="Helvetica Neue" w:eastAsia="맑은 고딕"/>
          <w:b/>
          <w:color w:val="082A4A"/>
          <w:sz w:val="33"/>
        </w:rPr>
        <w:t>04.  데이터가 허용하는 서비스 기획 결론</w:t>
      </w:r>
    </w:p>
    <w:p>
      <w:pPr>
        <w:keepNext/>
        <w:spacing w:before="0" w:after="120" w:line="259" w:lineRule="auto"/>
      </w:pPr>
      <w:r>
        <w:rPr>
          <w:rFonts w:ascii="Helvetica Neue" w:hAnsi="Helvetica Neue" w:eastAsia="맑은 고딕"/>
          <w:b w:val="0"/>
          <w:color w:val="5B7085"/>
          <w:sz w:val="18"/>
        </w:rPr>
        <w:t>강한 연결은 채택하고, 집계자료가 직접 뒷받침하지 못하는 기능은 검증 과제로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152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elvetica Neue" w:hAnsi="Helvetica Neue" w:eastAsia="맑은 고딕"/>
                <w:b/>
                <w:color w:val="082A4A"/>
                <w:sz w:val="20"/>
              </w:rPr>
              <w:t>생성 시연에서는 점포 POS·CCTV 익명 집계를 핵심으로, 업종·지역·요일 집계를 보조 기준으로 활용합니다.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Helvetica Neue" w:hAnsi="Helvetica Neue" w:eastAsia="맑은 고딕"/>
          <w:b/>
          <w:color w:val="5B7085"/>
          <w:sz w:val="20"/>
        </w:rPr>
        <w:t>제공 문서 분석 결과 → iM 파트너 기능 → 행동 제안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1699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  <w:t>제공 문서 근거</w:t>
            </w:r>
          </w:p>
        </w:tc>
        <w:tc>
          <w:tcPr>
            <w:tcW w:type="dxa" w:w="2332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  <w:t>안전한 해석 범위</w:t>
            </w:r>
          </w:p>
        </w:tc>
        <w:tc>
          <w:tcPr>
            <w:tcW w:type="dxa" w:w="2347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  <w:t>연결 기능</w:t>
            </w:r>
          </w:p>
        </w:tc>
        <w:tc>
          <w:tcPr>
            <w:tcW w:type="dxa" w:w="3772"/>
            <w:vAlign w:val="center"/>
            <w:shd w:fill="082A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</w:r>
            <w:r>
              <w:rPr>
                <w:rFonts w:ascii="Helvetica Neue" w:hAnsi="Helvetica Neue" w:eastAsia="맑은 고딕"/>
                <w:b/>
                <w:color w:val="FFFFFF"/>
                <w:sz w:val="14"/>
              </w:rPr>
              <w:t>점주 행동 제안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전국 29개월</w:t>
              <w:br/>
              <w:t>BSI÷100 지수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  <w:tc>
          <w:tcPr>
            <w:tcW w:type="dxa" w:w="2332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압박이 지속된 방향만 확인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(점포별 위험 아님)</w:t>
            </w:r>
          </w:p>
        </w:tc>
        <w:tc>
          <w:tcPr>
            <w:tcW w:type="dxa" w:w="2347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매출·지출 분석</w:t>
              <w:br/>
              <w:t>분석요약 PDF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  <w:tc>
          <w:tcPr>
            <w:tcW w:type="dxa" w:w="3772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선택 기간과 직전 동일 기간의 매출·지출 변동을 구분하고 분석요약 PDF로 정리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업종·구군 관측</w:t>
              <w:br/>
              <w:t>상대 객단가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  <w:tc>
          <w:tcPr>
            <w:tcW w:type="dxa" w:w="2332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동일 업종도 구군별 상대구조가 다름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(금액·수익성 아님)</w:t>
            </w:r>
          </w:p>
        </w:tc>
        <w:tc>
          <w:tcPr>
            <w:tcW w:type="dxa" w:w="2347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업종·지역 집계의 보조 비교</w:t>
              <w:br/>
              <w:t>— 실자료·지도 연동 미구현</w:t>
            </w:r>
          </w:p>
        </w:tc>
        <w:tc>
          <w:tcPr>
            <w:tcW w:type="dxa" w:w="3772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대구 전체 평균 대신 동일 업종·유사 상권과 비교해 가격·메뉴·마케팅 점검 순서 제안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업종별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요일 매출지수</w:t>
            </w:r>
          </w:p>
        </w:tc>
        <w:tc>
          <w:tcPr>
            <w:tcW w:type="dxa" w:w="2332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업종별 집중 요일이 다름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(점포 피크 아님)</w:t>
            </w:r>
          </w:p>
        </w:tc>
        <w:tc>
          <w:tcPr>
            <w:tcW w:type="dxa" w:w="2347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실행 행동 제안</w:t>
            </w:r>
          </w:p>
        </w:tc>
        <w:tc>
          <w:tcPr>
            <w:tcW w:type="dxa" w:w="3772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점포 POS로 패턴을 재확인한 뒤 발주·인력·프로모션 일정 우선순위 제안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비용 부담 BSI÷100 지수</w:t>
            </w:r>
          </w:p>
        </w:tc>
        <w:tc>
          <w:tcPr>
            <w:tcW w:type="dxa" w:w="2332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비용 압박 배경은 확인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(식자재 원인·절감효과 미확인)</w:t>
            </w:r>
          </w:p>
        </w:tc>
        <w:tc>
          <w:tcPr>
            <w:tcW w:type="dxa" w:w="2347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매입액 상위 품목 확인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— 추가 원자료 필요</w:t>
            </w:r>
          </w:p>
        </w:tc>
        <w:tc>
          <w:tcPr>
            <w:tcW w:type="dxa" w:w="3772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품목별 구매·폐기·원가 원자료를 추가한 뒤 발주량·대체품·폐기 저감안을 검증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집계자료 3종</w:t>
            </w:r>
          </w:p>
        </w:tc>
        <w:tc>
          <w:tcPr>
            <w:tcW w:type="dxa" w:w="2332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현금 유입·지급일·잔고 경로 없음</w:t>
            </w:r>
          </w:p>
        </w:tc>
        <w:tc>
          <w:tcPr>
            <w:tcW w:type="dxa" w:w="2347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현재 기능 범위 밖</w:t>
              <w:br/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— 추가 원자료 필요</w:t>
            </w:r>
          </w:p>
        </w:tc>
        <w:tc>
          <w:tcPr>
            <w:tcW w:type="dxa" w:w="3772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계좌·POS·고정비·지급예정 데이터를 확보해 예측오차·경고시점·행동효과를 파일럿 검증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생성 CCTV·POS</w:t>
              <w:br/>
              <w:t>회복 시나리오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  <w:tc>
          <w:tcPr>
            <w:tcW w:type="dxa" w:w="2332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18–20시 고정 시연값</w:t>
              <w:br/>
              <w:t>(실데이터·일반화 아님)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  <w:tc>
          <w:tcPr>
            <w:tcW w:type="dxa" w:w="2347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전환 퍼널·회복 행동</w:t>
              <w:br/>
              <w:t>— 화면 시연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  <w:tc>
          <w:tcPr>
            <w:tcW w:type="dxa" w:w="3772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실행 기록은 브라우저 메모리에만 남고, 7일 결과는 집계 대기입니다. 분석요약 PDF에는 아직 포함되지 않습니다.</w:t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Helvetica Neue" w:hAnsi="Helvetica Neue" w:eastAsia="맑은 고딕"/>
          <w:b/>
          <w:color w:val="5B7085"/>
          <w:sz w:val="20"/>
        </w:rPr>
        <w:t>검증 한계와 제출 전 보완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원본 재현성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원본 CSV·IPYNB와 전처리·필터·결측·이상치 기준 확보 후 핵심 수치를 재계산합니다.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표본·집계 범위</w:t>
            </w:r>
          </w:p>
        </w:tc>
        <w:tc>
          <w:tcPr>
            <w:tcW w:type="dxa" w:w="8164"/>
            <w:vAlign w:val="center"/>
            <w:shd w:fill="E6F0F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업종·구군별 관측 수, 가맹점 포함 범위, 결제채널 편향을 확인해 대표성 문구를 조정합니다.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CFE2F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점포별 기능 검증</w:t>
            </w:r>
          </w:p>
        </w:tc>
        <w:tc>
          <w:tcPr>
            <w:tcW w:type="dxa" w:w="8164"/>
            <w:vAlign w:val="center"/>
            <w:shd w:fill="F6F9F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Lines/>
              <w:spacing w:after="0" w:line="259" w:lineRule="auto" w:before="0"/>
            </w:pP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</w:r>
            <w:r>
              <w:rPr>
                <w:rFonts w:ascii="Helvetica Neue" w:hAnsi="Helvetica Neue" w:eastAsia="맑은 고딕"/>
                <w:b w:val="0"/>
                <w:color w:val="233447"/>
                <w:sz w:val="14"/>
              </w:rPr>
              <w:t>POS·지출·상권·회복 행동의 점포 단위 시계열로 분석·제안 효과를 검증합니다. 현금흐름 예측은 계좌·지급예정 데이터 확보 후 재검토합니다.</w:t>
            </w:r>
          </w:p>
        </w:tc>
      </w:tr>
    </w:tbl>
    <w:p>
      <w:pPr>
        <w:keepLines/>
        <w:spacing w:before="0" w:after="0" w:line="269" w:lineRule="auto"/>
      </w:pPr>
      <w:r>
        <w:rPr>
          <w:rFonts w:ascii="Helvetica Neue" w:hAnsi="Helvetica Neue" w:eastAsia="맑은 고딕"/>
          <w:b/>
          <w:color w:val="082A4A"/>
          <w:sz w:val="16"/>
        </w:rPr>
        <w:t>안전한 최종 문장: “제공 문서에서 전국의 체감 경영 압박과 대구의 업종·지역·요일별 집계 패턴 차이를 확인했습니다. 현재는 생성 POS·CCTV 익명 집계로 상태와 실행 검토 순서를 시연하며, 실자료 연동과 점포별 효과 검증은 미완료입니다.”</w:t>
      </w:r>
      <w:r>
        <w:rPr>
          <w:rFonts w:ascii="Helvetica Neue" w:hAnsi="Helvetica Neue" w:eastAsia="맑은 고딕"/>
          <w:color w:val="233447"/>
          <w:sz w:val="16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1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 w:eastAsia="맑은 고딕"/>
        <w:b w:val="0"/>
        <w:color w:val="5B7085"/>
        <w:sz w:val="15"/>
      </w:rPr>
      <w:t>iM 파트너 | 핵심 데이터 근거 자료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80" w:line="271" w:lineRule="auto"/>
    </w:pPr>
    <w:rPr>
      <w:rFonts w:ascii="Helvetica Neue" w:hAnsi="Helvetica Neue" w:eastAsia="맑은 고딕"/>
      <w:color w:val="233447"/>
      <w:sz w:val="18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Helvetica Neue" w:hAnsi="Helvetica Neue" w:eastAsia="맑은 고딕"/>
      <w:b/>
      <w:bCs w:val="1"/>
      <w:color w:val="082A4A"/>
      <w:sz w:val="33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elvetica Neue" w:cs="Calibri" w:eastAsia="맑은 고딕" w:hAnsi="Helvetica Neue"/>
      <w:b/>
      <w:bCs w:val="1"/>
      <w:smallCaps w:val="1"/>
      <w:color w:val="5B7085"/>
      <w:sz w:val="20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Helvetica Neue" w:hAnsi="Helvetica Neue" w:eastAsia="맑은 고딕"/>
      <w:b/>
      <w:bCs w:val="1"/>
      <w:color w:val="082A4A"/>
      <w:sz w:val="60"/>
      <w:szCs w:val="44"/>
    </w:rPr>
  </w:style>
  <w:style w:type="paragraph" w:styleId="Subtitle">
    <w:name w:val="Subtitle"/>
    <w:basedOn w:val="Normal"/>
    <w:next w:val="Normal"/>
    <w:pPr/>
    <w:rPr>
      <w:rFonts w:ascii="Helvetica Neue" w:cs="Calibri" w:eastAsia="맑은 고딕" w:hAnsi="Helvetica Neue"/>
      <w:b w:val="0"/>
      <w:i w:val="1"/>
      <w:iCs w:val="1"/>
      <w:color w:val="5B7085"/>
      <w:sz w:val="22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 파트너 핵심 데이터 제출용 근거자료</dc:title>
  <cp:lastModifiedBy>python-docx</cp:lastModifiedBy>
  <cp:revision>1</cp:revision>
  <dcterms:modified xsi:type="dcterms:W3CDTF">2026-09-07T01:19:44Z</dcterms:modified>
  <dc:subject>실제 데이터 분석 근거, 안전한 해석 범위, 서비스 기능 연결</dc:subject>
  <dc:creator>iM 파트너</dc:creator>
  <cp:keywords>소상공인, BSI, 상대 객단가, 요일 매출지수, 데이터 검증</cp:keywords>
  <dc:description>System Design reference.docx의 스타일과 패키지를 보존해 작성한 검증본</dc:description>
</cp:coreProperties>
</file>