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0" w:after="0"/>
        <w:rPr/>
      </w:pPr>
      <w:r>
        <w:rPr/>
        <w:softHyphen/>
      </w:r>
    </w:p>
    <w:p>
      <w:pPr>
        <w:pStyle w:val="Normal"/>
        <w:spacing w:before="0" w:after="200"/>
        <w:jc w:val="center"/>
        <w:rPr/>
      </w:pPr>
      <w:r>
        <w:rPr/>
        <w:drawing>
          <wp:inline distT="0" distB="0" distL="0" distR="0">
            <wp:extent cx="3191510" cy="319151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3191510" cy="3191510"/>
                    </a:xfrm>
                    <a:prstGeom prst="rect">
                      <a:avLst/>
                    </a:prstGeom>
                    <a:noFill/>
                  </pic:spPr>
                </pic:pic>
              </a:graphicData>
            </a:graphic>
          </wp:inline>
        </w:drawing>
      </w:r>
    </w:p>
    <w:p>
      <w:pPr>
        <w:pStyle w:val="Normal"/>
        <w:spacing w:before="0" w:after="200"/>
        <w:jc w:val="center"/>
        <w:rPr>
          <w:b/>
          <w:bCs/>
          <w:sz w:val="28"/>
          <w:szCs w:val="28"/>
        </w:rPr>
      </w:pPr>
      <w:r>
        <w:rPr>
          <w:b/>
          <w:bCs/>
          <w:sz w:val="56"/>
          <w:szCs w:val="56"/>
        </w:rPr>
        <w:t>Future</w:t>
      </w:r>
      <w:r>
        <w:rPr>
          <w:b/>
          <w:bCs/>
          <w:sz w:val="28"/>
          <w:szCs w:val="28"/>
        </w:rPr>
        <w:t xml:space="preserve"> </w:t>
      </w:r>
      <w:r>
        <w:rPr>
          <w:b/>
          <w:bCs/>
          <w:color w:val="6FB72D"/>
          <w:sz w:val="56"/>
          <w:szCs w:val="56"/>
        </w:rPr>
        <w:t>Interns</w:t>
      </w:r>
    </w:p>
    <w:p>
      <w:pPr>
        <w:pStyle w:val="Normal"/>
        <w:spacing w:before="0" w:after="200"/>
        <w:jc w:val="center"/>
        <w:rPr>
          <w:b/>
          <w:bCs/>
          <w:sz w:val="28"/>
          <w:szCs w:val="28"/>
        </w:rPr>
      </w:pPr>
      <w:r>
        <w:rPr>
          <w:b/>
          <w:bCs/>
          <w:sz w:val="28"/>
          <w:szCs w:val="28"/>
        </w:rPr>
        <w:t>Cyber Security Task 3 (2026)</w:t>
      </w:r>
    </w:p>
    <w:p>
      <w:pPr>
        <w:pStyle w:val="Normal"/>
        <w:spacing w:before="0" w:after="100"/>
        <w:jc w:val="center"/>
        <w:rPr/>
      </w:pPr>
      <w:r>
        <w:rPr>
          <w:b/>
          <w:bCs/>
          <w:sz w:val="40"/>
          <w:szCs w:val="40"/>
        </w:rPr>
        <w:t>API Security Risk Analysis Report</w:t>
      </w:r>
    </w:p>
    <w:p>
      <w:pPr>
        <w:pStyle w:val="Normal"/>
        <w:spacing w:before="0" w:after="200"/>
        <w:jc w:val="center"/>
        <w:rPr/>
      </w:pPr>
      <w:r>
        <w:rPr>
          <w:sz w:val="28"/>
          <w:szCs w:val="28"/>
        </w:rPr>
        <w:t>JSONPlaceholder — Public API Security Assessment</w:t>
      </w:r>
    </w:p>
    <w:p>
      <w:pPr>
        <w:pStyle w:val="Normal"/>
        <w:spacing w:before="0" w:after="200"/>
        <w:jc w:val="center"/>
        <w:rPr/>
      </w:pPr>
      <w:r>
        <w:rPr>
          <w:sz w:val="24"/>
          <w:szCs w:val="24"/>
        </w:rPr>
        <w:t>Prepared by Ebasa Getu</w:t>
      </w:r>
    </w:p>
    <w:p>
      <w:pPr>
        <w:pStyle w:val="Normal"/>
        <w:spacing w:before="0" w:after="0"/>
        <w:jc w:val="center"/>
        <w:rPr/>
        <w:sectPr>
          <w:type w:val="nextPage"/>
          <w:pgSz w:w="11906" w:h="16838"/>
          <w:pgMar w:left="1440" w:right="1440" w:gutter="0" w:header="0" w:top="2880" w:footer="0" w:bottom="1440"/>
          <w:pgNumType w:fmt="decimal"/>
          <w:formProt w:val="false"/>
          <w:textDirection w:val="lrTb"/>
          <w:docGrid w:type="default" w:linePitch="360" w:charSpace="0"/>
        </w:sectPr>
      </w:pPr>
      <w:r>
        <w:rPr>
          <w:sz w:val="24"/>
          <w:szCs w:val="24"/>
        </w:rPr>
        <w:t>___________________________________________</w:t>
      </w:r>
    </w:p>
    <w:p>
      <w:pPr>
        <w:pStyle w:val="Heading1"/>
        <w:spacing w:before="240" w:after="120"/>
        <w:rPr/>
      </w:pPr>
      <w:r>
        <w:rPr>
          <w:b/>
          <w:bCs/>
          <w:sz w:val="32"/>
          <w:szCs w:val="32"/>
        </w:rPr>
        <w:t>Risk Summary</w:t>
      </w:r>
    </w:p>
    <w:tbl>
      <w:tblPr>
        <w:tblW w:w="5000" w:type="pct"/>
        <w:jc w:val="start"/>
        <w:tblInd w:w="0" w:type="dxa"/>
        <w:tblLayout w:type="fixed"/>
        <w:tblCellMar>
          <w:top w:w="0" w:type="dxa"/>
          <w:start w:w="108" w:type="dxa"/>
          <w:bottom w:w="0" w:type="dxa"/>
          <w:end w:w="108" w:type="dxa"/>
        </w:tblCellMar>
      </w:tblPr>
      <w:tblGrid>
        <w:gridCol w:w="1805"/>
        <w:gridCol w:w="1805"/>
        <w:gridCol w:w="1805"/>
        <w:gridCol w:w="1805"/>
        <w:gridCol w:w="1806"/>
      </w:tblGrid>
      <w:tr>
        <w:trPr>
          <w:tblHeader w:val="true"/>
        </w:trPr>
        <w:tc>
          <w:tcPr>
            <w:tcW w:w="1805" w:type="dxa"/>
            <w:tcBorders>
              <w:top w:val="single" w:sz="2" w:space="0" w:color="000000"/>
              <w:start w:val="single" w:sz="2" w:space="0" w:color="000000"/>
              <w:bottom w:val="single" w:sz="2" w:space="0" w:color="000000"/>
              <w:end w:val="single" w:sz="2" w:space="0" w:color="000000"/>
            </w:tcBorders>
            <w:shd w:fill="E0E0E0" w:val="clear"/>
          </w:tcPr>
          <w:p>
            <w:pPr>
              <w:pStyle w:val="Normal"/>
              <w:spacing w:before="0" w:after="40"/>
              <w:rPr/>
            </w:pPr>
            <w:r>
              <w:rPr>
                <w:b/>
                <w:bCs/>
                <w:sz w:val="20"/>
                <w:szCs w:val="20"/>
              </w:rPr>
              <w:t>#</w:t>
            </w:r>
          </w:p>
        </w:tc>
        <w:tc>
          <w:tcPr>
            <w:tcW w:w="1805" w:type="dxa"/>
            <w:tcBorders>
              <w:top w:val="single" w:sz="2" w:space="0" w:color="000000"/>
              <w:start w:val="single" w:sz="2" w:space="0" w:color="000000"/>
              <w:bottom w:val="single" w:sz="2" w:space="0" w:color="000000"/>
              <w:end w:val="single" w:sz="2" w:space="0" w:color="000000"/>
            </w:tcBorders>
            <w:shd w:fill="E0E0E0" w:val="clear"/>
          </w:tcPr>
          <w:p>
            <w:pPr>
              <w:pStyle w:val="Normal"/>
              <w:spacing w:before="0" w:after="40"/>
              <w:rPr/>
            </w:pPr>
            <w:r>
              <w:rPr>
                <w:b/>
                <w:bCs/>
                <w:sz w:val="20"/>
                <w:szCs w:val="20"/>
              </w:rPr>
              <w:t>Risk</w:t>
            </w:r>
          </w:p>
        </w:tc>
        <w:tc>
          <w:tcPr>
            <w:tcW w:w="1805" w:type="dxa"/>
            <w:tcBorders>
              <w:top w:val="single" w:sz="2" w:space="0" w:color="000000"/>
              <w:start w:val="single" w:sz="2" w:space="0" w:color="000000"/>
              <w:bottom w:val="single" w:sz="2" w:space="0" w:color="000000"/>
              <w:end w:val="single" w:sz="2" w:space="0" w:color="000000"/>
            </w:tcBorders>
            <w:shd w:fill="E0E0E0" w:val="clear"/>
          </w:tcPr>
          <w:p>
            <w:pPr>
              <w:pStyle w:val="Normal"/>
              <w:spacing w:before="0" w:after="40"/>
              <w:rPr/>
            </w:pPr>
            <w:r>
              <w:rPr>
                <w:b/>
                <w:bCs/>
                <w:sz w:val="20"/>
                <w:szCs w:val="20"/>
              </w:rPr>
              <w:t>Severity</w:t>
            </w:r>
          </w:p>
        </w:tc>
        <w:tc>
          <w:tcPr>
            <w:tcW w:w="1805" w:type="dxa"/>
            <w:tcBorders>
              <w:top w:val="single" w:sz="2" w:space="0" w:color="000000"/>
              <w:start w:val="single" w:sz="2" w:space="0" w:color="000000"/>
              <w:bottom w:val="single" w:sz="2" w:space="0" w:color="000000"/>
              <w:end w:val="single" w:sz="2" w:space="0" w:color="000000"/>
            </w:tcBorders>
            <w:shd w:fill="E0E0E0" w:val="clear"/>
          </w:tcPr>
          <w:p>
            <w:pPr>
              <w:pStyle w:val="Normal"/>
              <w:spacing w:before="0" w:after="40"/>
              <w:rPr/>
            </w:pPr>
            <w:r>
              <w:rPr>
                <w:b/>
                <w:bCs/>
                <w:sz w:val="20"/>
                <w:szCs w:val="20"/>
              </w:rPr>
              <w:t>OWASP</w:t>
            </w:r>
          </w:p>
        </w:tc>
        <w:tc>
          <w:tcPr>
            <w:tcW w:w="1806" w:type="dxa"/>
            <w:tcBorders>
              <w:top w:val="single" w:sz="2" w:space="0" w:color="000000"/>
              <w:start w:val="single" w:sz="2" w:space="0" w:color="000000"/>
              <w:bottom w:val="single" w:sz="2" w:space="0" w:color="000000"/>
              <w:end w:val="single" w:sz="2" w:space="0" w:color="000000"/>
            </w:tcBorders>
            <w:shd w:fill="E0E0E0" w:val="clear"/>
          </w:tcPr>
          <w:p>
            <w:pPr>
              <w:pStyle w:val="Normal"/>
              <w:spacing w:before="0" w:after="40"/>
              <w:rPr/>
            </w:pPr>
            <w:r>
              <w:rPr>
                <w:b/>
                <w:bCs/>
                <w:sz w:val="20"/>
                <w:szCs w:val="20"/>
              </w:rPr>
              <w:t>Business Impact</w:t>
            </w:r>
          </w:p>
        </w:tc>
      </w:tr>
      <w:tr>
        <w:trPr/>
        <w:tc>
          <w:tcPr>
            <w:tcW w:w="1805"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1</w:t>
            </w:r>
          </w:p>
        </w:tc>
        <w:tc>
          <w:tcPr>
            <w:tcW w:w="1805"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Missing Authentication</w:t>
            </w:r>
          </w:p>
        </w:tc>
        <w:tc>
          <w:tcPr>
            <w:tcW w:w="1805"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High</w:t>
            </w:r>
          </w:p>
        </w:tc>
        <w:tc>
          <w:tcPr>
            <w:tcW w:w="1805"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API2</w:t>
            </w:r>
          </w:p>
        </w:tc>
        <w:tc>
          <w:tcPr>
            <w:tcW w:w="1806"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No ability to track or audit API usage. Impossible to enforce access controls. A...</w:t>
            </w:r>
          </w:p>
        </w:tc>
      </w:tr>
      <w:tr>
        <w:trPr/>
        <w:tc>
          <w:tcPr>
            <w:tcW w:w="1805"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2</w:t>
            </w:r>
          </w:p>
        </w:tc>
        <w:tc>
          <w:tcPr>
            <w:tcW w:w="1805"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Excessive Data Exposure</w:t>
            </w:r>
          </w:p>
        </w:tc>
        <w:tc>
          <w:tcPr>
            <w:tcW w:w="1805"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High</w:t>
            </w:r>
          </w:p>
        </w:tc>
        <w:tc>
          <w:tcPr>
            <w:tcW w:w="1805"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API3</w:t>
            </w:r>
          </w:p>
        </w:tc>
        <w:tc>
          <w:tcPr>
            <w:tcW w:w="1806"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PII (email, phone, home address, geolocation) is exposed unnecessarily. This con...</w:t>
            </w:r>
          </w:p>
        </w:tc>
      </w:tr>
      <w:tr>
        <w:trPr/>
        <w:tc>
          <w:tcPr>
            <w:tcW w:w="1805"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3</w:t>
            </w:r>
          </w:p>
        </w:tc>
        <w:tc>
          <w:tcPr>
            <w:tcW w:w="1805"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Broken Object Level Authorization (IDOR)</w:t>
            </w:r>
          </w:p>
        </w:tc>
        <w:tc>
          <w:tcPr>
            <w:tcW w:w="1805"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High</w:t>
            </w:r>
          </w:p>
        </w:tc>
        <w:tc>
          <w:tcPr>
            <w:tcW w:w="1805"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API1</w:t>
            </w:r>
          </w:p>
        </w:tc>
        <w:tc>
          <w:tcPr>
            <w:tcW w:w="1806"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Complete breakdown of multi-tenant data isolation. In a SaaS application, Tenant...</w:t>
            </w:r>
          </w:p>
        </w:tc>
      </w:tr>
      <w:tr>
        <w:trPr/>
        <w:tc>
          <w:tcPr>
            <w:tcW w:w="1805"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4</w:t>
            </w:r>
          </w:p>
        </w:tc>
        <w:tc>
          <w:tcPr>
            <w:tcW w:w="1805"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Weak Rate Limiting</w:t>
            </w:r>
          </w:p>
        </w:tc>
        <w:tc>
          <w:tcPr>
            <w:tcW w:w="1805"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Medium</w:t>
            </w:r>
          </w:p>
        </w:tc>
        <w:tc>
          <w:tcPr>
            <w:tcW w:w="1805"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API8</w:t>
            </w:r>
          </w:p>
        </w:tc>
        <w:tc>
          <w:tcPr>
            <w:tcW w:w="1806"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Brute-force attacks against endpoints (credential guessing, ID enumeration) beco...</w:t>
            </w:r>
          </w:p>
        </w:tc>
      </w:tr>
      <w:tr>
        <w:trPr/>
        <w:tc>
          <w:tcPr>
            <w:tcW w:w="1805"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5</w:t>
            </w:r>
          </w:p>
        </w:tc>
        <w:tc>
          <w:tcPr>
            <w:tcW w:w="1805"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Missing Input Validation</w:t>
            </w:r>
          </w:p>
        </w:tc>
        <w:tc>
          <w:tcPr>
            <w:tcW w:w="1805"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Medium</w:t>
            </w:r>
          </w:p>
        </w:tc>
        <w:tc>
          <w:tcPr>
            <w:tcW w:w="1805"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API9</w:t>
            </w:r>
          </w:p>
        </w:tc>
        <w:tc>
          <w:tcPr>
            <w:tcW w:w="1806"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SQL/NoSQL injection vulnerabilities if database queries are dynamically construc...</w:t>
            </w:r>
          </w:p>
        </w:tc>
      </w:tr>
      <w:tr>
        <w:trPr/>
        <w:tc>
          <w:tcPr>
            <w:tcW w:w="1805"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6</w:t>
            </w:r>
          </w:p>
        </w:tc>
        <w:tc>
          <w:tcPr>
            <w:tcW w:w="1805"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Sensitive Data in URL Parameters</w:t>
            </w:r>
          </w:p>
        </w:tc>
        <w:tc>
          <w:tcPr>
            <w:tcW w:w="1805"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Low</w:t>
            </w:r>
          </w:p>
        </w:tc>
        <w:tc>
          <w:tcPr>
            <w:tcW w:w="1805"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API3</w:t>
            </w:r>
          </w:p>
        </w:tc>
        <w:tc>
          <w:tcPr>
            <w:tcW w:w="1806"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User IDs and filtering criteria logged in server access logs and CDN logs. Analy...</w:t>
            </w:r>
          </w:p>
        </w:tc>
      </w:tr>
      <w:tr>
        <w:trPr/>
        <w:tc>
          <w:tcPr>
            <w:tcW w:w="1805"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7</w:t>
            </w:r>
          </w:p>
        </w:tc>
        <w:tc>
          <w:tcPr>
            <w:tcW w:w="1805"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Permissive CORS Configuration</w:t>
            </w:r>
          </w:p>
        </w:tc>
        <w:tc>
          <w:tcPr>
            <w:tcW w:w="1805"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Low</w:t>
            </w:r>
          </w:p>
        </w:tc>
        <w:tc>
          <w:tcPr>
            <w:tcW w:w="1805"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API7</w:t>
            </w:r>
          </w:p>
        </w:tc>
        <w:tc>
          <w:tcPr>
            <w:tcW w:w="1806"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Any malicious website can make credentialed API requests on behalf of users if c...</w:t>
            </w:r>
          </w:p>
        </w:tc>
      </w:tr>
    </w:tbl>
    <w:p>
      <w:pPr>
        <w:sectPr>
          <w:type w:val="nextPage"/>
          <w:pgSz w:w="11906" w:h="16838"/>
          <w:pgMar w:left="1440" w:right="1440" w:gutter="0" w:header="0" w:top="1440" w:footer="0" w:bottom="1440"/>
          <w:pgNumType w:fmt="decimal"/>
          <w:formProt w:val="false"/>
          <w:textDirection w:val="lrTb"/>
          <w:docGrid w:type="default" w:linePitch="360" w:charSpace="0"/>
        </w:sectPr>
      </w:pPr>
    </w:p>
    <w:p>
      <w:pPr>
        <w:pStyle w:val="Heading1"/>
        <w:spacing w:before="240" w:after="120"/>
        <w:rPr/>
      </w:pPr>
      <w:r>
        <w:rPr>
          <w:b/>
          <w:bCs/>
          <w:sz w:val="32"/>
          <w:szCs w:val="32"/>
        </w:rPr>
        <w:t>Finding 1: Missing Authentication</w:t>
      </w:r>
    </w:p>
    <w:tbl>
      <w:tblPr>
        <w:tblW w:w="5000" w:type="pct"/>
        <w:jc w:val="start"/>
        <w:tblInd w:w="0" w:type="dxa"/>
        <w:tblLayout w:type="fixed"/>
        <w:tblCellMar>
          <w:top w:w="0" w:type="dxa"/>
          <w:start w:w="108" w:type="dxa"/>
          <w:bottom w:w="0" w:type="dxa"/>
          <w:end w:w="108" w:type="dxa"/>
        </w:tblCellMar>
      </w:tblPr>
      <w:tblGrid>
        <w:gridCol w:w="4512"/>
        <w:gridCol w:w="4514"/>
      </w:tblGrid>
      <w:tr>
        <w:trPr/>
        <w:tc>
          <w:tcPr>
            <w:tcW w:w="4512"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bCs/>
                <w:sz w:val="20"/>
                <w:szCs w:val="20"/>
              </w:rPr>
              <w:t>Severity</w:t>
            </w:r>
          </w:p>
        </w:tc>
        <w:tc>
          <w:tcPr>
            <w:tcW w:w="4514"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bCs/>
                <w:sz w:val="20"/>
                <w:szCs w:val="20"/>
              </w:rPr>
              <w:t>High</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OWASP</w:t>
            </w:r>
          </w:p>
        </w:tc>
        <w:tc>
          <w:tcPr>
            <w:tcW w:w="4514"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API2</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Endpoint</w:t>
            </w:r>
          </w:p>
        </w:tc>
        <w:tc>
          <w:tcPr>
            <w:tcW w:w="4514"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 (all endpoints)</w:t>
            </w:r>
          </w:p>
        </w:tc>
      </w:tr>
    </w:tbl>
    <w:p>
      <w:pPr>
        <w:pStyle w:val="Heading2"/>
        <w:spacing w:before="240" w:after="120"/>
        <w:rPr/>
      </w:pPr>
      <w:r>
        <w:rPr>
          <w:b/>
          <w:bCs/>
          <w:sz w:val="28"/>
          <w:szCs w:val="28"/>
        </w:rPr>
        <w:t>Description</w:t>
      </w:r>
    </w:p>
    <w:p>
      <w:pPr>
        <w:pStyle w:val="Normal"/>
        <w:spacing w:before="0" w:after="120"/>
        <w:rPr/>
      </w:pPr>
      <w:r>
        <w:rPr>
          <w:sz w:val="24"/>
          <w:szCs w:val="24"/>
        </w:rPr>
        <w:t>The API requires no authentication whatsoever. Any client can access all resources without providing an API key, token, or credentials. Even a fabricated Bearer token is accepted without validation, meaning there is zero access control at the transport layer.</w:t>
      </w:r>
    </w:p>
    <w:p>
      <w:pPr>
        <w:pStyle w:val="Heading2"/>
        <w:spacing w:before="240" w:after="120"/>
        <w:rPr/>
      </w:pPr>
      <w:r>
        <w:rPr>
          <w:b/>
          <w:bCs/>
          <w:sz w:val="28"/>
          <w:szCs w:val="28"/>
        </w:rPr>
        <w:t>Business Impact</w:t>
      </w:r>
    </w:p>
    <w:p>
      <w:pPr>
        <w:pStyle w:val="Normal"/>
        <w:spacing w:before="0" w:after="120"/>
        <w:rPr/>
      </w:pPr>
      <w:r>
        <w:rPr>
          <w:sz w:val="24"/>
          <w:szCs w:val="24"/>
        </w:rPr>
        <w:t>No ability to track or audit API usage. Impossible to enforce access controls. Any third party can consume API resources. No accountability for data access. In a production SaaS environment, this would allow unlimited data scraping and abuse.</w:t>
      </w:r>
    </w:p>
    <w:p>
      <w:pPr>
        <w:pStyle w:val="Heading2"/>
        <w:spacing w:before="240" w:after="120"/>
        <w:rPr/>
      </w:pPr>
      <w:r>
        <w:rPr>
          <w:b/>
          <w:bCs/>
          <w:sz w:val="28"/>
          <w:szCs w:val="28"/>
        </w:rPr>
        <w:t>Remediation</w:t>
      </w:r>
    </w:p>
    <w:p>
      <w:pPr>
        <w:pStyle w:val="Normal"/>
        <w:spacing w:before="0" w:after="60"/>
        <w:rPr/>
      </w:pPr>
      <w:r>
        <w:rPr>
          <w:sz w:val="22"/>
          <w:szCs w:val="22"/>
        </w:rPr>
        <w:t>1. Implement API key authentication via X-API-Key header for machine-to-machine access</w:t>
      </w:r>
    </w:p>
    <w:p>
      <w:pPr>
        <w:pStyle w:val="Normal"/>
        <w:spacing w:before="0" w:after="60"/>
        <w:rPr/>
      </w:pPr>
      <w:r>
        <w:rPr>
          <w:sz w:val="22"/>
          <w:szCs w:val="22"/>
        </w:rPr>
        <w:t>2. Deploy OAuth 2.0 / JWT for user-level authentication with short-lived tokens</w:t>
      </w:r>
    </w:p>
    <w:p>
      <w:pPr>
        <w:pStyle w:val="Normal"/>
        <w:spacing w:before="0" w:after="60"/>
        <w:rPr/>
      </w:pPr>
      <w:r>
        <w:rPr>
          <w:sz w:val="22"/>
          <w:szCs w:val="22"/>
        </w:rPr>
        <w:t>3. Validate tokens on every single request via middleware</w:t>
      </w:r>
    </w:p>
    <w:p>
      <w:pPr>
        <w:pStyle w:val="Normal"/>
        <w:spacing w:before="0" w:after="60"/>
        <w:rPr/>
      </w:pPr>
      <w:r>
        <w:rPr>
          <w:sz w:val="22"/>
          <w:szCs w:val="22"/>
        </w:rPr>
        <w:t>4. Reject unauthenticated requests with 401 Unauthorized and descriptive error codes</w:t>
      </w:r>
    </w:p>
    <w:p>
      <w:pPr>
        <w:pStyle w:val="Normal"/>
        <w:spacing w:before="0" w:after="60"/>
        <w:rPr/>
      </w:pPr>
      <w:r>
        <w:rPr>
          <w:sz w:val="22"/>
          <w:szCs w:val="22"/>
        </w:rPr>
        <w:t>5. Log all authenticated requests with user identity for audit trails</w:t>
      </w:r>
    </w:p>
    <w:p>
      <w:pPr>
        <w:pStyle w:val="Heading2"/>
        <w:spacing w:before="240" w:after="120"/>
        <w:rPr/>
      </w:pPr>
      <w:r>
        <w:rPr>
          <w:b/>
          <w:bCs/>
          <w:sz w:val="28"/>
          <w:szCs w:val="28"/>
        </w:rPr>
        <w:t>Evidence</w:t>
      </w:r>
    </w:p>
    <w:tbl>
      <w:tblPr>
        <w:tblW w:w="5000" w:type="pct"/>
        <w:jc w:val="start"/>
        <w:tblInd w:w="0" w:type="dxa"/>
        <w:tblLayout w:type="fixed"/>
        <w:tblCellMar>
          <w:top w:w="0" w:type="dxa"/>
          <w:start w:w="108" w:type="dxa"/>
          <w:bottom w:w="0" w:type="dxa"/>
          <w:end w:w="108" w:type="dxa"/>
        </w:tblCellMar>
      </w:tblPr>
      <w:tblGrid>
        <w:gridCol w:w="9026"/>
      </w:tblGrid>
      <w:tr>
        <w:trPr/>
        <w:tc>
          <w:tcPr>
            <w:tcW w:w="9026" w:type="dxa"/>
            <w:tcBorders>
              <w:top w:val="single" w:sz="2" w:space="0" w:color="000000"/>
              <w:start w:val="single" w:sz="2" w:space="0" w:color="000000"/>
              <w:bottom w:val="single" w:sz="2" w:space="0" w:color="000000"/>
              <w:end w:val="single" w:sz="2" w:space="0" w:color="000000"/>
            </w:tcBorders>
          </w:tcPr>
          <w:p>
            <w:pPr>
              <w:pStyle w:val="Normal"/>
              <w:spacing w:before="0" w:after="20"/>
              <w:ind w:start="100"/>
              <w:rPr/>
            </w:pPr>
            <w:r>
              <w:rPr>
                <w:rFonts w:eastAsia="Courier New" w:cs="Courier New" w:ascii="Courier New" w:hAnsi="Courier New"/>
                <w:sz w:val="18"/>
                <w:szCs w:val="18"/>
              </w:rPr>
              <w:t># No auth header -&gt; 200 OK</w:t>
            </w:r>
          </w:p>
          <w:p>
            <w:pPr>
              <w:pStyle w:val="Normal"/>
              <w:spacing w:before="0" w:after="20"/>
              <w:ind w:start="100"/>
              <w:rPr/>
            </w:pPr>
            <w:r>
              <w:rPr>
                <w:rFonts w:eastAsia="Courier New" w:cs="Courier New" w:ascii="Courier New" w:hAnsi="Courier New"/>
                <w:sz w:val="18"/>
                <w:szCs w:val="18"/>
              </w:rPr>
              <w:t>curl -s -o /dev/null -w "%{http_code}" https://jsonplaceholder.typicode.com/posts</w:t>
            </w:r>
          </w:p>
          <w:p>
            <w:pPr>
              <w:pStyle w:val="Normal"/>
              <w:spacing w:before="0" w:after="20"/>
              <w:ind w:start="100"/>
              <w:rPr/>
            </w:pPr>
            <w:r>
              <w:rPr>
                <w:rFonts w:eastAsia="Courier New" w:cs="Courier New" w:ascii="Courier New" w:hAnsi="Courier New"/>
                <w:sz w:val="18"/>
                <w:szCs w:val="18"/>
              </w:rPr>
              <w:t>200</w:t>
            </w:r>
          </w:p>
          <w:p>
            <w:pPr>
              <w:pStyle w:val="Normal"/>
              <w:spacing w:before="0" w:after="20"/>
              <w:ind w:start="100"/>
              <w:rPr/>
            </w:pPr>
            <w:r>
              <w:rPr/>
            </w:r>
          </w:p>
          <w:p>
            <w:pPr>
              <w:pStyle w:val="Normal"/>
              <w:spacing w:before="0" w:after="20"/>
              <w:ind w:start="100"/>
              <w:rPr/>
            </w:pPr>
            <w:r>
              <w:rPr>
                <w:rFonts w:eastAsia="Courier New" w:cs="Courier New" w:ascii="Courier New" w:hAnsi="Courier New"/>
                <w:sz w:val="18"/>
                <w:szCs w:val="18"/>
              </w:rPr>
              <w:t># Fake Bearer token -&gt; also 200 OK</w:t>
            </w:r>
          </w:p>
          <w:p>
            <w:pPr>
              <w:pStyle w:val="Normal"/>
              <w:spacing w:before="0" w:after="20"/>
              <w:ind w:start="100"/>
              <w:rPr/>
            </w:pPr>
            <w:r>
              <w:rPr>
                <w:rFonts w:eastAsia="Courier New" w:cs="Courier New" w:ascii="Courier New" w:hAnsi="Courier New"/>
                <w:sz w:val="18"/>
                <w:szCs w:val="18"/>
              </w:rPr>
              <w:t>curl -s -o /dev/null -w "%{http_code}" -H "Authorization: Bearer faketoken123" https://jsonplaceholder.typicode.com/posts/1</w:t>
            </w:r>
          </w:p>
          <w:p>
            <w:pPr>
              <w:pStyle w:val="Normal"/>
              <w:spacing w:before="0" w:after="20"/>
              <w:ind w:start="100"/>
              <w:rPr/>
            </w:pPr>
            <w:r>
              <w:rPr>
                <w:rFonts w:eastAsia="Courier New" w:cs="Courier New" w:ascii="Courier New" w:hAnsi="Courier New"/>
                <w:sz w:val="18"/>
                <w:szCs w:val="18"/>
              </w:rPr>
              <w:t>200</w:t>
            </w:r>
          </w:p>
        </w:tc>
      </w:tr>
    </w:tbl>
    <w:p>
      <w:pPr>
        <w:pStyle w:val="Normal"/>
        <w:spacing w:before="0" w:after="0"/>
        <w:rPr/>
        <w:sectPr>
          <w:type w:val="nextPage"/>
          <w:pgSz w:w="11906" w:h="16838"/>
          <w:pgMar w:left="1440" w:right="1440" w:gutter="0" w:header="0" w:top="1440" w:footer="0" w:bottom="1440"/>
          <w:pgNumType w:fmt="decimal"/>
          <w:formProt w:val="false"/>
          <w:textDirection w:val="lrTb"/>
          <w:docGrid w:type="default" w:linePitch="360" w:charSpace="0"/>
        </w:sectPr>
      </w:pPr>
      <w:r>
        <w:rPr/>
      </w:r>
      <w:r>
        <w:br w:type="page"/>
      </w:r>
    </w:p>
    <w:p>
      <w:pPr>
        <w:pStyle w:val="Heading1"/>
        <w:spacing w:before="240" w:after="120"/>
        <w:rPr/>
      </w:pPr>
      <w:r>
        <w:rPr>
          <w:b/>
          <w:bCs/>
          <w:sz w:val="32"/>
          <w:szCs w:val="32"/>
        </w:rPr>
        <w:t>Finding 2: Excessive Data Exposure</w:t>
      </w:r>
    </w:p>
    <w:tbl>
      <w:tblPr>
        <w:tblW w:w="5000" w:type="pct"/>
        <w:jc w:val="start"/>
        <w:tblInd w:w="0" w:type="dxa"/>
        <w:tblLayout w:type="fixed"/>
        <w:tblCellMar>
          <w:top w:w="0" w:type="dxa"/>
          <w:start w:w="108" w:type="dxa"/>
          <w:bottom w:w="0" w:type="dxa"/>
          <w:end w:w="108" w:type="dxa"/>
        </w:tblCellMar>
      </w:tblPr>
      <w:tblGrid>
        <w:gridCol w:w="4512"/>
        <w:gridCol w:w="4514"/>
      </w:tblGrid>
      <w:tr>
        <w:trPr/>
        <w:tc>
          <w:tcPr>
            <w:tcW w:w="4512"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bCs/>
                <w:sz w:val="20"/>
                <w:szCs w:val="20"/>
              </w:rPr>
              <w:t>Severity</w:t>
            </w:r>
          </w:p>
        </w:tc>
        <w:tc>
          <w:tcPr>
            <w:tcW w:w="4514"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bCs/>
                <w:sz w:val="20"/>
                <w:szCs w:val="20"/>
              </w:rPr>
              <w:t>High</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OWASP</w:t>
            </w:r>
          </w:p>
        </w:tc>
        <w:tc>
          <w:tcPr>
            <w:tcW w:w="4514"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API3</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Endpoint</w:t>
            </w:r>
          </w:p>
        </w:tc>
        <w:tc>
          <w:tcPr>
            <w:tcW w:w="4514"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GET /users/{id}</w:t>
            </w:r>
          </w:p>
        </w:tc>
      </w:tr>
    </w:tbl>
    <w:p>
      <w:pPr>
        <w:pStyle w:val="Heading2"/>
        <w:spacing w:before="240" w:after="120"/>
        <w:rPr/>
      </w:pPr>
      <w:r>
        <w:rPr>
          <w:b/>
          <w:bCs/>
          <w:sz w:val="28"/>
          <w:szCs w:val="28"/>
        </w:rPr>
        <w:t>Description</w:t>
      </w:r>
    </w:p>
    <w:p>
      <w:pPr>
        <w:pStyle w:val="Normal"/>
        <w:spacing w:before="0" w:after="120"/>
        <w:rPr/>
      </w:pPr>
      <w:r>
        <w:rPr>
          <w:sz w:val="24"/>
          <w:szCs w:val="24"/>
        </w:rPr>
        <w:t>The /users endpoint returns far more data than any typical client needs, including email addresses, phone numbers, full physical addresses (street, suite, city, zipcode, and precise GPS coordinates), and company details. In a production blog or todo app, only a display name and avatar URL should be exposed.</w:t>
      </w:r>
    </w:p>
    <w:p>
      <w:pPr>
        <w:pStyle w:val="Heading2"/>
        <w:spacing w:before="240" w:after="120"/>
        <w:rPr/>
      </w:pPr>
      <w:r>
        <w:rPr>
          <w:b/>
          <w:bCs/>
          <w:sz w:val="28"/>
          <w:szCs w:val="28"/>
        </w:rPr>
        <w:t>Business Impact</w:t>
      </w:r>
    </w:p>
    <w:p>
      <w:pPr>
        <w:pStyle w:val="Normal"/>
        <w:spacing w:before="0" w:after="120"/>
        <w:rPr/>
      </w:pPr>
      <w:r>
        <w:rPr>
          <w:sz w:val="24"/>
          <w:szCs w:val="24"/>
        </w:rPr>
        <w:t>PII (email, phone, home address, geolocation) is exposed unnecessarily. This constitutes a GDPR/CCPA compliance risk. Attackers can harvest contact data for phishing campaigns. Geolocation data poses physical privacy risks.</w:t>
      </w:r>
    </w:p>
    <w:p>
      <w:pPr>
        <w:pStyle w:val="Heading2"/>
        <w:spacing w:before="240" w:after="120"/>
        <w:rPr/>
      </w:pPr>
      <w:r>
        <w:rPr>
          <w:b/>
          <w:bCs/>
          <w:sz w:val="28"/>
          <w:szCs w:val="28"/>
        </w:rPr>
        <w:t>Remediation</w:t>
      </w:r>
    </w:p>
    <w:p>
      <w:pPr>
        <w:pStyle w:val="Normal"/>
        <w:spacing w:before="0" w:after="60"/>
        <w:rPr/>
      </w:pPr>
      <w:r>
        <w:rPr>
          <w:sz w:val="22"/>
          <w:szCs w:val="22"/>
        </w:rPr>
        <w:t>1. Implement field-level filtering — only return fields the client explicitly requests via query parameters</w:t>
      </w:r>
    </w:p>
    <w:p>
      <w:pPr>
        <w:pStyle w:val="Normal"/>
        <w:spacing w:before="0" w:after="60"/>
        <w:rPr/>
      </w:pPr>
      <w:r>
        <w:rPr>
          <w:sz w:val="22"/>
          <w:szCs w:val="22"/>
        </w:rPr>
        <w:t>2. Use GraphQL or JSON:API with sparse fieldsets for granular control</w:t>
      </w:r>
    </w:p>
    <w:p>
      <w:pPr>
        <w:pStyle w:val="Normal"/>
        <w:spacing w:before="0" w:after="60"/>
        <w:rPr/>
      </w:pPr>
      <w:r>
        <w:rPr>
          <w:sz w:val="22"/>
          <w:szCs w:val="22"/>
        </w:rPr>
        <w:t>3. Create separate response DTOs per client type (public, authenticated, admin)</w:t>
      </w:r>
    </w:p>
    <w:p>
      <w:pPr>
        <w:pStyle w:val="Normal"/>
        <w:spacing w:before="0" w:after="60"/>
        <w:rPr/>
      </w:pPr>
      <w:r>
        <w:rPr>
          <w:sz w:val="22"/>
          <w:szCs w:val="22"/>
        </w:rPr>
        <w:t>4. Never serialize internal database entities directly to API responses</w:t>
      </w:r>
    </w:p>
    <w:p>
      <w:pPr>
        <w:pStyle w:val="Normal"/>
        <w:spacing w:before="0" w:after="60"/>
        <w:rPr/>
      </w:pPr>
      <w:r>
        <w:rPr>
          <w:sz w:val="22"/>
          <w:szCs w:val="22"/>
        </w:rPr>
        <w:t>5. Conduct regular response payload audits with automated schema validation</w:t>
      </w:r>
    </w:p>
    <w:p>
      <w:pPr>
        <w:pStyle w:val="Heading2"/>
        <w:spacing w:before="240" w:after="120"/>
        <w:rPr/>
      </w:pPr>
      <w:r>
        <w:rPr>
          <w:b/>
          <w:bCs/>
          <w:sz w:val="28"/>
          <w:szCs w:val="28"/>
        </w:rPr>
        <w:t>Evidence</w:t>
      </w:r>
    </w:p>
    <w:tbl>
      <w:tblPr>
        <w:tblW w:w="5000" w:type="pct"/>
        <w:jc w:val="start"/>
        <w:tblInd w:w="0" w:type="dxa"/>
        <w:tblLayout w:type="fixed"/>
        <w:tblCellMar>
          <w:top w:w="0" w:type="dxa"/>
          <w:start w:w="108" w:type="dxa"/>
          <w:bottom w:w="0" w:type="dxa"/>
          <w:end w:w="108" w:type="dxa"/>
        </w:tblCellMar>
      </w:tblPr>
      <w:tblGrid>
        <w:gridCol w:w="9026"/>
      </w:tblGrid>
      <w:tr>
        <w:trPr/>
        <w:tc>
          <w:tcPr>
            <w:tcW w:w="9026" w:type="dxa"/>
            <w:tcBorders>
              <w:top w:val="single" w:sz="2" w:space="0" w:color="000000"/>
              <w:start w:val="single" w:sz="2" w:space="0" w:color="000000"/>
              <w:bottom w:val="single" w:sz="2" w:space="0" w:color="000000"/>
              <w:end w:val="single" w:sz="2" w:space="0" w:color="000000"/>
            </w:tcBorders>
          </w:tcPr>
          <w:p>
            <w:pPr>
              <w:pStyle w:val="Normal"/>
              <w:spacing w:before="0" w:after="20"/>
              <w:ind w:start="100"/>
              <w:rPr/>
            </w:pPr>
            <w:r>
              <w:rPr>
                <w:rFonts w:eastAsia="Courier New" w:cs="Courier New" w:ascii="Courier New" w:hAnsi="Courier New"/>
                <w:sz w:val="18"/>
                <w:szCs w:val="18"/>
              </w:rPr>
              <w:t>curl -s https://jsonplaceholder.typicode.com/users/1 | jq 'keys'</w:t>
            </w:r>
          </w:p>
          <w:p>
            <w:pPr>
              <w:pStyle w:val="Normal"/>
              <w:spacing w:before="0" w:after="20"/>
              <w:ind w:start="100"/>
              <w:rPr/>
            </w:pPr>
            <w:r>
              <w:rPr>
                <w:rFonts w:eastAsia="Courier New" w:cs="Courier New" w:ascii="Courier New" w:hAnsi="Courier New"/>
                <w:sz w:val="18"/>
                <w:szCs w:val="18"/>
              </w:rPr>
              <w:t>[</w:t>
            </w:r>
          </w:p>
          <w:p>
            <w:pPr>
              <w:pStyle w:val="Normal"/>
              <w:spacing w:before="0" w:after="20"/>
              <w:ind w:start="100"/>
              <w:rPr/>
            </w:pPr>
            <w:r>
              <w:rPr>
                <w:rFonts w:eastAsia="Courier New" w:cs="Courier New" w:ascii="Courier New" w:hAnsi="Courier New"/>
                <w:sz w:val="18"/>
                <w:szCs w:val="18"/>
              </w:rPr>
              <w:t xml:space="preserve">  </w:t>
            </w:r>
            <w:r>
              <w:rPr>
                <w:rFonts w:eastAsia="Courier New" w:cs="Courier New" w:ascii="Courier New" w:hAnsi="Courier New"/>
                <w:sz w:val="18"/>
                <w:szCs w:val="18"/>
              </w:rPr>
              <w:t>"id", "name", "username", "email",</w:t>
            </w:r>
          </w:p>
          <w:p>
            <w:pPr>
              <w:pStyle w:val="Normal"/>
              <w:spacing w:before="0" w:after="20"/>
              <w:ind w:start="100"/>
              <w:rPr/>
            </w:pPr>
            <w:r>
              <w:rPr>
                <w:rFonts w:eastAsia="Courier New" w:cs="Courier New" w:ascii="Courier New" w:hAnsi="Courier New"/>
                <w:sz w:val="18"/>
                <w:szCs w:val="18"/>
              </w:rPr>
              <w:t xml:space="preserve">  </w:t>
            </w:r>
            <w:r>
              <w:rPr>
                <w:rFonts w:eastAsia="Courier New" w:cs="Courier New" w:ascii="Courier New" w:hAnsi="Courier New"/>
                <w:sz w:val="18"/>
                <w:szCs w:val="18"/>
              </w:rPr>
              <w:t>"address", "phone", "website", "company"</w:t>
            </w:r>
          </w:p>
          <w:p>
            <w:pPr>
              <w:pStyle w:val="Normal"/>
              <w:spacing w:before="0" w:after="20"/>
              <w:ind w:start="100"/>
              <w:rPr/>
            </w:pPr>
            <w:r>
              <w:rPr>
                <w:rFonts w:eastAsia="Courier New" w:cs="Courier New" w:ascii="Courier New" w:hAnsi="Courier New"/>
                <w:sz w:val="18"/>
                <w:szCs w:val="18"/>
              </w:rPr>
              <w:t>]</w:t>
            </w:r>
          </w:p>
          <w:p>
            <w:pPr>
              <w:pStyle w:val="Normal"/>
              <w:spacing w:before="0" w:after="20"/>
              <w:ind w:start="100"/>
              <w:rPr/>
            </w:pPr>
            <w:r>
              <w:rPr/>
            </w:r>
          </w:p>
          <w:p>
            <w:pPr>
              <w:pStyle w:val="Normal"/>
              <w:spacing w:before="0" w:after="20"/>
              <w:ind w:start="100"/>
              <w:rPr/>
            </w:pPr>
            <w:r>
              <w:rPr>
                <w:rFonts w:eastAsia="Courier New" w:cs="Courier New" w:ascii="Courier New" w:hAnsi="Courier New"/>
                <w:sz w:val="18"/>
                <w:szCs w:val="18"/>
              </w:rPr>
              <w:t>address contains: street, suite, city, zipcode, geo (lat/lng)</w:t>
            </w:r>
          </w:p>
          <w:p>
            <w:pPr>
              <w:pStyle w:val="Normal"/>
              <w:spacing w:before="0" w:after="20"/>
              <w:ind w:start="100"/>
              <w:rPr/>
            </w:pPr>
            <w:r>
              <w:rPr>
                <w:rFonts w:eastAsia="Courier New" w:cs="Courier New" w:ascii="Courier New" w:hAnsi="Courier New"/>
                <w:sz w:val="18"/>
                <w:szCs w:val="18"/>
              </w:rPr>
              <w:t>This exposes geolocation for every user — unnecessary</w:t>
            </w:r>
          </w:p>
        </w:tc>
      </w:tr>
    </w:tbl>
    <w:p>
      <w:pPr>
        <w:pStyle w:val="Normal"/>
        <w:spacing w:before="0" w:after="0"/>
        <w:rPr/>
        <w:sectPr>
          <w:type w:val="nextPage"/>
          <w:pgSz w:w="11906" w:h="16838"/>
          <w:pgMar w:left="1440" w:right="1440" w:gutter="0" w:header="0" w:top="1440" w:footer="0" w:bottom="1440"/>
          <w:pgNumType w:fmt="decimal"/>
          <w:formProt w:val="false"/>
          <w:textDirection w:val="lrTb"/>
          <w:docGrid w:type="default" w:linePitch="360" w:charSpace="0"/>
        </w:sectPr>
      </w:pPr>
      <w:r>
        <w:rPr/>
      </w:r>
      <w:r>
        <w:br w:type="page"/>
      </w:r>
    </w:p>
    <w:p>
      <w:pPr>
        <w:pStyle w:val="Heading1"/>
        <w:spacing w:before="240" w:after="120"/>
        <w:rPr/>
      </w:pPr>
      <w:r>
        <w:rPr>
          <w:b/>
          <w:bCs/>
          <w:sz w:val="32"/>
          <w:szCs w:val="32"/>
        </w:rPr>
        <w:t>Finding 3: Broken Object Level Authorization (IDOR)</w:t>
      </w:r>
    </w:p>
    <w:tbl>
      <w:tblPr>
        <w:tblW w:w="5000" w:type="pct"/>
        <w:jc w:val="start"/>
        <w:tblInd w:w="0" w:type="dxa"/>
        <w:tblLayout w:type="fixed"/>
        <w:tblCellMar>
          <w:top w:w="0" w:type="dxa"/>
          <w:start w:w="108" w:type="dxa"/>
          <w:bottom w:w="0" w:type="dxa"/>
          <w:end w:w="108" w:type="dxa"/>
        </w:tblCellMar>
      </w:tblPr>
      <w:tblGrid>
        <w:gridCol w:w="4512"/>
        <w:gridCol w:w="4514"/>
      </w:tblGrid>
      <w:tr>
        <w:trPr/>
        <w:tc>
          <w:tcPr>
            <w:tcW w:w="4512"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bCs/>
                <w:sz w:val="20"/>
                <w:szCs w:val="20"/>
              </w:rPr>
              <w:t>Severity</w:t>
            </w:r>
          </w:p>
        </w:tc>
        <w:tc>
          <w:tcPr>
            <w:tcW w:w="4514"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bCs/>
                <w:sz w:val="20"/>
                <w:szCs w:val="20"/>
              </w:rPr>
              <w:t>High</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OWASP</w:t>
            </w:r>
          </w:p>
        </w:tc>
        <w:tc>
          <w:tcPr>
            <w:tcW w:w="4514"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API1</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Endpoint</w:t>
            </w:r>
          </w:p>
        </w:tc>
        <w:tc>
          <w:tcPr>
            <w:tcW w:w="4514"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GET /posts?userId={id}, GET /users/{id}</w:t>
            </w:r>
          </w:p>
        </w:tc>
      </w:tr>
    </w:tbl>
    <w:p>
      <w:pPr>
        <w:pStyle w:val="Heading2"/>
        <w:spacing w:before="240" w:after="120"/>
        <w:rPr/>
      </w:pPr>
      <w:r>
        <w:rPr>
          <w:b/>
          <w:bCs/>
          <w:sz w:val="28"/>
          <w:szCs w:val="28"/>
        </w:rPr>
        <w:t>Description</w:t>
      </w:r>
    </w:p>
    <w:p>
      <w:pPr>
        <w:pStyle w:val="Normal"/>
        <w:spacing w:before="0" w:after="120"/>
        <w:rPr/>
      </w:pPr>
      <w:r>
        <w:rPr>
          <w:sz w:val="24"/>
          <w:szCs w:val="24"/>
        </w:rPr>
        <w:t>There is no authorization check on any resource. Any user can access any other user's posts, todos, or personal information simply by changing query parameters or URL segments. Sequential integer IDs make enumeration trivial.</w:t>
      </w:r>
    </w:p>
    <w:p>
      <w:pPr>
        <w:pStyle w:val="Heading2"/>
        <w:spacing w:before="240" w:after="120"/>
        <w:rPr/>
      </w:pPr>
      <w:r>
        <w:rPr>
          <w:b/>
          <w:bCs/>
          <w:sz w:val="28"/>
          <w:szCs w:val="28"/>
        </w:rPr>
        <w:t>Business Impact</w:t>
      </w:r>
    </w:p>
    <w:p>
      <w:pPr>
        <w:pStyle w:val="Normal"/>
        <w:spacing w:before="0" w:after="120"/>
        <w:rPr/>
      </w:pPr>
      <w:r>
        <w:rPr>
          <w:sz w:val="24"/>
          <w:szCs w:val="24"/>
        </w:rPr>
        <w:t>Complete breakdown of multi-tenant data isolation. In a SaaS application, Tenant A can read Tenant B's private data — financial records, medical history, private messages. Regulatory fines and irreparable reputational damage would follow.</w:t>
      </w:r>
    </w:p>
    <w:p>
      <w:pPr>
        <w:pStyle w:val="Heading2"/>
        <w:spacing w:before="240" w:after="120"/>
        <w:rPr/>
      </w:pPr>
      <w:r>
        <w:rPr>
          <w:b/>
          <w:bCs/>
          <w:sz w:val="28"/>
          <w:szCs w:val="28"/>
        </w:rPr>
        <w:t>Remediation</w:t>
      </w:r>
    </w:p>
    <w:p>
      <w:pPr>
        <w:pStyle w:val="Normal"/>
        <w:spacing w:before="0" w:after="60"/>
        <w:rPr/>
      </w:pPr>
      <w:r>
        <w:rPr>
          <w:sz w:val="22"/>
          <w:szCs w:val="22"/>
        </w:rPr>
        <w:t>1. Implement object-level authorization middleware on every resource endpoint</w:t>
      </w:r>
    </w:p>
    <w:p>
      <w:pPr>
        <w:pStyle w:val="Normal"/>
        <w:spacing w:before="0" w:after="60"/>
        <w:rPr/>
      </w:pPr>
      <w:r>
        <w:rPr>
          <w:sz w:val="22"/>
          <w:szCs w:val="22"/>
        </w:rPr>
        <w:t>2. Compare requested userId against authenticated user identity server-side — never trust client input</w:t>
      </w:r>
    </w:p>
    <w:p>
      <w:pPr>
        <w:pStyle w:val="Normal"/>
        <w:spacing w:before="0" w:after="60"/>
        <w:rPr/>
      </w:pPr>
      <w:r>
        <w:rPr>
          <w:sz w:val="22"/>
          <w:szCs w:val="22"/>
        </w:rPr>
        <w:t>3. Use UUIDs instead of sequential integers to reduce enumeration (defense-in-depth, not a replacement for auth)</w:t>
      </w:r>
    </w:p>
    <w:p>
      <w:pPr>
        <w:pStyle w:val="Normal"/>
        <w:spacing w:before="0" w:after="60"/>
        <w:rPr/>
      </w:pPr>
      <w:r>
        <w:rPr>
          <w:sz w:val="22"/>
          <w:szCs w:val="22"/>
        </w:rPr>
        <w:t>4. Apply the principle of least privilege — users should only access resources they own</w:t>
      </w:r>
    </w:p>
    <w:p>
      <w:pPr>
        <w:pStyle w:val="Normal"/>
        <w:spacing w:before="0" w:after="60"/>
        <w:rPr/>
      </w:pPr>
      <w:r>
        <w:rPr>
          <w:sz w:val="22"/>
          <w:szCs w:val="22"/>
        </w:rPr>
        <w:t>5. Conduct automated authorization fuzzing in CI/CD pipeline</w:t>
      </w:r>
    </w:p>
    <w:p>
      <w:pPr>
        <w:pStyle w:val="Heading2"/>
        <w:spacing w:before="240" w:after="120"/>
        <w:rPr/>
      </w:pPr>
      <w:r>
        <w:rPr>
          <w:b/>
          <w:bCs/>
          <w:sz w:val="28"/>
          <w:szCs w:val="28"/>
        </w:rPr>
        <w:t>Evidence</w:t>
      </w:r>
    </w:p>
    <w:tbl>
      <w:tblPr>
        <w:tblW w:w="5000" w:type="pct"/>
        <w:jc w:val="start"/>
        <w:tblInd w:w="0" w:type="dxa"/>
        <w:tblLayout w:type="fixed"/>
        <w:tblCellMar>
          <w:top w:w="0" w:type="dxa"/>
          <w:start w:w="108" w:type="dxa"/>
          <w:bottom w:w="0" w:type="dxa"/>
          <w:end w:w="108" w:type="dxa"/>
        </w:tblCellMar>
      </w:tblPr>
      <w:tblGrid>
        <w:gridCol w:w="9026"/>
      </w:tblGrid>
      <w:tr>
        <w:trPr/>
        <w:tc>
          <w:tcPr>
            <w:tcW w:w="9026" w:type="dxa"/>
            <w:tcBorders>
              <w:top w:val="single" w:sz="2" w:space="0" w:color="000000"/>
              <w:start w:val="single" w:sz="2" w:space="0" w:color="000000"/>
              <w:bottom w:val="single" w:sz="2" w:space="0" w:color="000000"/>
              <w:end w:val="single" w:sz="2" w:space="0" w:color="000000"/>
            </w:tcBorders>
          </w:tcPr>
          <w:p>
            <w:pPr>
              <w:pStyle w:val="Normal"/>
              <w:spacing w:before="0" w:after="20"/>
              <w:ind w:start="100"/>
              <w:rPr/>
            </w:pPr>
            <w:r>
              <w:rPr>
                <w:rFonts w:eastAsia="Courier New" w:cs="Courier New" w:ascii="Courier New" w:hAnsi="Courier New"/>
                <w:sz w:val="18"/>
                <w:szCs w:val="18"/>
              </w:rPr>
              <w:t>curl -s "https://jsonplaceholder.typicode.com/posts?userId=1" | jq length</w:t>
            </w:r>
          </w:p>
          <w:p>
            <w:pPr>
              <w:pStyle w:val="Normal"/>
              <w:spacing w:before="0" w:after="20"/>
              <w:ind w:start="100"/>
              <w:rPr/>
            </w:pPr>
            <w:r>
              <w:rPr>
                <w:rFonts w:eastAsia="Courier New" w:cs="Courier New" w:ascii="Courier New" w:hAnsi="Courier New"/>
                <w:sz w:val="18"/>
                <w:szCs w:val="18"/>
              </w:rPr>
              <w:t>10</w:t>
            </w:r>
          </w:p>
          <w:p>
            <w:pPr>
              <w:pStyle w:val="Normal"/>
              <w:spacing w:before="0" w:after="20"/>
              <w:ind w:start="100"/>
              <w:rPr/>
            </w:pPr>
            <w:r>
              <w:rPr>
                <w:rFonts w:eastAsia="Courier New" w:cs="Courier New" w:ascii="Courier New" w:hAnsi="Courier New"/>
                <w:sz w:val="18"/>
                <w:szCs w:val="18"/>
              </w:rPr>
              <w:t>curl -s "https://jsonplaceholder.typicode.com/posts?userId=2" | jq length</w:t>
            </w:r>
          </w:p>
          <w:p>
            <w:pPr>
              <w:pStyle w:val="Normal"/>
              <w:spacing w:before="0" w:after="20"/>
              <w:ind w:start="100"/>
              <w:rPr/>
            </w:pPr>
            <w:r>
              <w:rPr>
                <w:rFonts w:eastAsia="Courier New" w:cs="Courier New" w:ascii="Courier New" w:hAnsi="Courier New"/>
                <w:sz w:val="18"/>
                <w:szCs w:val="18"/>
              </w:rPr>
              <w:t>10</w:t>
            </w:r>
          </w:p>
          <w:p>
            <w:pPr>
              <w:pStyle w:val="Normal"/>
              <w:spacing w:before="0" w:after="20"/>
              <w:ind w:start="100"/>
              <w:rPr/>
            </w:pPr>
            <w:r>
              <w:rPr/>
            </w:r>
          </w:p>
          <w:p>
            <w:pPr>
              <w:pStyle w:val="Normal"/>
              <w:spacing w:before="0" w:after="20"/>
              <w:ind w:start="100"/>
              <w:rPr/>
            </w:pPr>
            <w:r>
              <w:rPr>
                <w:rFonts w:eastAsia="Courier New" w:cs="Courier New" w:ascii="Courier New" w:hAnsi="Courier New"/>
                <w:sz w:val="18"/>
                <w:szCs w:val="18"/>
              </w:rPr>
              <w:t>Both return data — no authorization barrier between users</w:t>
            </w:r>
          </w:p>
        </w:tc>
      </w:tr>
    </w:tbl>
    <w:p>
      <w:pPr>
        <w:pStyle w:val="Normal"/>
        <w:spacing w:before="0" w:after="0"/>
        <w:rPr/>
        <w:sectPr>
          <w:type w:val="nextPage"/>
          <w:pgSz w:w="11906" w:h="16838"/>
          <w:pgMar w:left="1440" w:right="1440" w:gutter="0" w:header="0" w:top="1440" w:footer="0" w:bottom="1440"/>
          <w:pgNumType w:fmt="decimal"/>
          <w:formProt w:val="false"/>
          <w:textDirection w:val="lrTb"/>
          <w:docGrid w:type="default" w:linePitch="360" w:charSpace="0"/>
        </w:sectPr>
      </w:pPr>
      <w:r>
        <w:rPr/>
      </w:r>
      <w:r>
        <w:br w:type="page"/>
      </w:r>
    </w:p>
    <w:p>
      <w:pPr>
        <w:pStyle w:val="Heading1"/>
        <w:spacing w:before="240" w:after="120"/>
        <w:rPr/>
      </w:pPr>
      <w:r>
        <w:rPr>
          <w:b/>
          <w:bCs/>
          <w:sz w:val="32"/>
          <w:szCs w:val="32"/>
        </w:rPr>
        <w:t>Finding 4: Weak Rate Limiting</w:t>
      </w:r>
    </w:p>
    <w:tbl>
      <w:tblPr>
        <w:tblW w:w="5000" w:type="pct"/>
        <w:jc w:val="start"/>
        <w:tblInd w:w="0" w:type="dxa"/>
        <w:tblLayout w:type="fixed"/>
        <w:tblCellMar>
          <w:top w:w="0" w:type="dxa"/>
          <w:start w:w="108" w:type="dxa"/>
          <w:bottom w:w="0" w:type="dxa"/>
          <w:end w:w="108" w:type="dxa"/>
        </w:tblCellMar>
      </w:tblPr>
      <w:tblGrid>
        <w:gridCol w:w="4512"/>
        <w:gridCol w:w="4514"/>
      </w:tblGrid>
      <w:tr>
        <w:trPr/>
        <w:tc>
          <w:tcPr>
            <w:tcW w:w="4512"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bCs/>
                <w:sz w:val="20"/>
                <w:szCs w:val="20"/>
              </w:rPr>
              <w:t>Severity</w:t>
            </w:r>
          </w:p>
        </w:tc>
        <w:tc>
          <w:tcPr>
            <w:tcW w:w="4514"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bCs/>
                <w:sz w:val="20"/>
                <w:szCs w:val="20"/>
              </w:rPr>
              <w:t>Medium</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OWASP</w:t>
            </w:r>
          </w:p>
        </w:tc>
        <w:tc>
          <w:tcPr>
            <w:tcW w:w="4514"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API8</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Endpoint</w:t>
            </w:r>
          </w:p>
        </w:tc>
        <w:tc>
          <w:tcPr>
            <w:tcW w:w="4514"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GET /posts</w:t>
            </w:r>
          </w:p>
        </w:tc>
      </w:tr>
    </w:tbl>
    <w:p>
      <w:pPr>
        <w:pStyle w:val="Heading2"/>
        <w:spacing w:before="240" w:after="120"/>
        <w:rPr/>
      </w:pPr>
      <w:r>
        <w:rPr>
          <w:b/>
          <w:bCs/>
          <w:sz w:val="28"/>
          <w:szCs w:val="28"/>
        </w:rPr>
        <w:t>Description</w:t>
      </w:r>
    </w:p>
    <w:p>
      <w:pPr>
        <w:pStyle w:val="Normal"/>
        <w:spacing w:before="0" w:after="120"/>
        <w:rPr/>
      </w:pPr>
      <w:r>
        <w:rPr>
          <w:sz w:val="24"/>
          <w:szCs w:val="24"/>
        </w:rPr>
        <w:t>While a rate limit header exists (1000 requests/hour), the limit is generous and there is no apparent throttling on rapid burst requests. Five sequential requests with zero delay all succeeded without a single 429 response.</w:t>
      </w:r>
    </w:p>
    <w:p>
      <w:pPr>
        <w:pStyle w:val="Heading2"/>
        <w:spacing w:before="240" w:after="120"/>
        <w:rPr/>
      </w:pPr>
      <w:r>
        <w:rPr>
          <w:b/>
          <w:bCs/>
          <w:sz w:val="28"/>
          <w:szCs w:val="28"/>
        </w:rPr>
        <w:t>Business Impact</w:t>
      </w:r>
    </w:p>
    <w:p>
      <w:pPr>
        <w:pStyle w:val="Normal"/>
        <w:spacing w:before="0" w:after="120"/>
        <w:rPr/>
      </w:pPr>
      <w:r>
        <w:rPr>
          <w:sz w:val="24"/>
          <w:szCs w:val="24"/>
        </w:rPr>
        <w:t>Brute-force attacks against endpoints (credential guessing, ID enumeration) become feasible. Resource exhaustion can degrade performance for legitimate users. Infrastructure costs from abuse scale linearly with attacker volume.</w:t>
      </w:r>
    </w:p>
    <w:p>
      <w:pPr>
        <w:pStyle w:val="Heading2"/>
        <w:spacing w:before="240" w:after="120"/>
        <w:rPr/>
      </w:pPr>
      <w:r>
        <w:rPr>
          <w:b/>
          <w:bCs/>
          <w:sz w:val="28"/>
          <w:szCs w:val="28"/>
        </w:rPr>
        <w:t>Remediation</w:t>
      </w:r>
    </w:p>
    <w:p>
      <w:pPr>
        <w:pStyle w:val="Normal"/>
        <w:spacing w:before="0" w:after="60"/>
        <w:rPr/>
      </w:pPr>
      <w:r>
        <w:rPr>
          <w:sz w:val="22"/>
          <w:szCs w:val="22"/>
        </w:rPr>
        <w:t>1. Implement per-IP and per-user rate limits with different tiers</w:t>
      </w:r>
    </w:p>
    <w:p>
      <w:pPr>
        <w:pStyle w:val="Normal"/>
        <w:spacing w:before="0" w:after="60"/>
        <w:rPr/>
      </w:pPr>
      <w:r>
        <w:rPr>
          <w:sz w:val="22"/>
          <w:szCs w:val="22"/>
        </w:rPr>
        <w:t>2. Add exponential backoff with proper Retry-After headers on 429 responses</w:t>
      </w:r>
    </w:p>
    <w:p>
      <w:pPr>
        <w:pStyle w:val="Normal"/>
        <w:spacing w:before="0" w:after="60"/>
        <w:rPr/>
      </w:pPr>
      <w:r>
        <w:rPr>
          <w:sz w:val="22"/>
          <w:szCs w:val="22"/>
        </w:rPr>
        <w:t>3. Use a sliding window algorithm instead of fixed window for smoother enforcement</w:t>
      </w:r>
    </w:p>
    <w:p>
      <w:pPr>
        <w:pStyle w:val="Normal"/>
        <w:spacing w:before="0" w:after="60"/>
        <w:rPr/>
      </w:pPr>
      <w:r>
        <w:rPr>
          <w:sz w:val="22"/>
          <w:szCs w:val="22"/>
        </w:rPr>
        <w:t>4. Set up real-time alerting on anomalous request patterns</w:t>
      </w:r>
    </w:p>
    <w:p>
      <w:pPr>
        <w:pStyle w:val="Normal"/>
        <w:spacing w:before="0" w:after="60"/>
        <w:rPr/>
      </w:pPr>
      <w:r>
        <w:rPr>
          <w:sz w:val="22"/>
          <w:szCs w:val="22"/>
        </w:rPr>
        <w:t>5. Deploy CAPTCHA or proof-of-work challenges for sensitive operations</w:t>
      </w:r>
    </w:p>
    <w:p>
      <w:pPr>
        <w:pStyle w:val="Heading2"/>
        <w:spacing w:before="240" w:after="120"/>
        <w:rPr/>
      </w:pPr>
      <w:r>
        <w:rPr>
          <w:b/>
          <w:bCs/>
          <w:sz w:val="28"/>
          <w:szCs w:val="28"/>
        </w:rPr>
        <w:t>Evidence</w:t>
      </w:r>
    </w:p>
    <w:tbl>
      <w:tblPr>
        <w:tblW w:w="5000" w:type="pct"/>
        <w:jc w:val="start"/>
        <w:tblInd w:w="0" w:type="dxa"/>
        <w:tblLayout w:type="fixed"/>
        <w:tblCellMar>
          <w:top w:w="0" w:type="dxa"/>
          <w:start w:w="108" w:type="dxa"/>
          <w:bottom w:w="0" w:type="dxa"/>
          <w:end w:w="108" w:type="dxa"/>
        </w:tblCellMar>
      </w:tblPr>
      <w:tblGrid>
        <w:gridCol w:w="9026"/>
      </w:tblGrid>
      <w:tr>
        <w:trPr/>
        <w:tc>
          <w:tcPr>
            <w:tcW w:w="9026" w:type="dxa"/>
            <w:tcBorders>
              <w:top w:val="single" w:sz="2" w:space="0" w:color="000000"/>
              <w:start w:val="single" w:sz="2" w:space="0" w:color="000000"/>
              <w:bottom w:val="single" w:sz="2" w:space="0" w:color="000000"/>
              <w:end w:val="single" w:sz="2" w:space="0" w:color="000000"/>
            </w:tcBorders>
          </w:tcPr>
          <w:p>
            <w:pPr>
              <w:pStyle w:val="Normal"/>
              <w:spacing w:before="0" w:after="20"/>
              <w:ind w:start="100"/>
              <w:rPr/>
            </w:pPr>
            <w:r>
              <w:rPr>
                <w:rFonts w:eastAsia="Courier New" w:cs="Courier New" w:ascii="Courier New" w:hAnsi="Courier New"/>
                <w:sz w:val="18"/>
                <w:szCs w:val="18"/>
              </w:rPr>
              <w:t>for i in 1 2 3 4 5; do</w:t>
            </w:r>
          </w:p>
          <w:p>
            <w:pPr>
              <w:pStyle w:val="Normal"/>
              <w:spacing w:before="0" w:after="20"/>
              <w:ind w:start="100"/>
              <w:rPr/>
            </w:pPr>
            <w:r>
              <w:rPr>
                <w:rFonts w:eastAsia="Courier New" w:cs="Courier New" w:ascii="Courier New" w:hAnsi="Courier New"/>
                <w:sz w:val="18"/>
                <w:szCs w:val="18"/>
              </w:rPr>
              <w:t xml:space="preserve">  </w:t>
            </w:r>
            <w:r>
              <w:rPr>
                <w:rFonts w:eastAsia="Courier New" w:cs="Courier New" w:ascii="Courier New" w:hAnsi="Courier New"/>
                <w:sz w:val="18"/>
                <w:szCs w:val="18"/>
              </w:rPr>
              <w:t>curl -s -o /dev/null -w "Request $i: %{http_code}\"</w:t>
            </w:r>
          </w:p>
          <w:p>
            <w:pPr>
              <w:pStyle w:val="Normal"/>
              <w:spacing w:before="0" w:after="20"/>
              <w:ind w:start="100"/>
              <w:rPr/>
            </w:pPr>
            <w:r>
              <w:rPr>
                <w:rFonts w:eastAsia="Courier New" w:cs="Courier New" w:ascii="Courier New" w:hAnsi="Courier New"/>
                <w:sz w:val="18"/>
                <w:szCs w:val="18"/>
              </w:rPr>
              <w:t xml:space="preserve">    </w:t>
            </w:r>
            <w:r>
              <w:rPr>
                <w:rFonts w:eastAsia="Courier New" w:cs="Courier New" w:ascii="Courier New" w:hAnsi="Courier New"/>
                <w:sz w:val="18"/>
                <w:szCs w:val="18"/>
              </w:rPr>
              <w:t>https://jsonplaceholder.typicode.com/posts</w:t>
            </w:r>
          </w:p>
          <w:p>
            <w:pPr>
              <w:pStyle w:val="Normal"/>
              <w:spacing w:before="0" w:after="20"/>
              <w:ind w:start="100"/>
              <w:rPr/>
            </w:pPr>
            <w:r>
              <w:rPr>
                <w:rFonts w:eastAsia="Courier New" w:cs="Courier New" w:ascii="Courier New" w:hAnsi="Courier New"/>
                <w:sz w:val="18"/>
                <w:szCs w:val="18"/>
              </w:rPr>
              <w:t>done</w:t>
            </w:r>
          </w:p>
          <w:p>
            <w:pPr>
              <w:pStyle w:val="Normal"/>
              <w:spacing w:before="0" w:after="20"/>
              <w:ind w:start="100"/>
              <w:rPr/>
            </w:pPr>
            <w:r>
              <w:rPr>
                <w:rFonts w:eastAsia="Courier New" w:cs="Courier New" w:ascii="Courier New" w:hAnsi="Courier New"/>
                <w:sz w:val="18"/>
                <w:szCs w:val="18"/>
              </w:rPr>
              <w:t>Request 1: 200</w:t>
            </w:r>
          </w:p>
          <w:p>
            <w:pPr>
              <w:pStyle w:val="Normal"/>
              <w:spacing w:before="0" w:after="20"/>
              <w:ind w:start="100"/>
              <w:rPr/>
            </w:pPr>
            <w:r>
              <w:rPr>
                <w:rFonts w:eastAsia="Courier New" w:cs="Courier New" w:ascii="Courier New" w:hAnsi="Courier New"/>
                <w:sz w:val="18"/>
                <w:szCs w:val="18"/>
              </w:rPr>
              <w:t>Request 2: 200</w:t>
            </w:r>
          </w:p>
          <w:p>
            <w:pPr>
              <w:pStyle w:val="Normal"/>
              <w:spacing w:before="0" w:after="20"/>
              <w:ind w:start="100"/>
              <w:rPr/>
            </w:pPr>
            <w:r>
              <w:rPr>
                <w:rFonts w:eastAsia="Courier New" w:cs="Courier New" w:ascii="Courier New" w:hAnsi="Courier New"/>
                <w:sz w:val="18"/>
                <w:szCs w:val="18"/>
              </w:rPr>
              <w:t>...</w:t>
            </w:r>
          </w:p>
          <w:p>
            <w:pPr>
              <w:pStyle w:val="Normal"/>
              <w:spacing w:before="0" w:after="20"/>
              <w:ind w:start="100"/>
              <w:rPr/>
            </w:pPr>
            <w:r>
              <w:rPr>
                <w:rFonts w:eastAsia="Courier New" w:cs="Courier New" w:ascii="Courier New" w:hAnsi="Courier New"/>
                <w:sz w:val="18"/>
                <w:szCs w:val="18"/>
              </w:rPr>
              <w:t>Request 5: 200</w:t>
            </w:r>
          </w:p>
          <w:p>
            <w:pPr>
              <w:pStyle w:val="Normal"/>
              <w:spacing w:before="0" w:after="20"/>
              <w:ind w:start="100"/>
              <w:rPr/>
            </w:pPr>
            <w:r>
              <w:rPr/>
            </w:r>
          </w:p>
          <w:p>
            <w:pPr>
              <w:pStyle w:val="Normal"/>
              <w:spacing w:before="0" w:after="20"/>
              <w:ind w:start="100"/>
              <w:rPr/>
            </w:pPr>
            <w:r>
              <w:rPr>
                <w:rFonts w:eastAsia="Courier New" w:cs="Courier New" w:ascii="Courier New" w:hAnsi="Courier New"/>
                <w:sz w:val="18"/>
                <w:szCs w:val="18"/>
              </w:rPr>
              <w:t>Rate limit headers:</w:t>
            </w:r>
          </w:p>
          <w:p>
            <w:pPr>
              <w:pStyle w:val="Normal"/>
              <w:spacing w:before="0" w:after="20"/>
              <w:ind w:start="100"/>
              <w:rPr/>
            </w:pPr>
            <w:r>
              <w:rPr>
                <w:rFonts w:eastAsia="Courier New" w:cs="Courier New" w:ascii="Courier New" w:hAnsi="Courier New"/>
                <w:sz w:val="18"/>
                <w:szCs w:val="18"/>
              </w:rPr>
              <w:t xml:space="preserve">  </w:t>
            </w:r>
            <w:r>
              <w:rPr>
                <w:rFonts w:eastAsia="Courier New" w:cs="Courier New" w:ascii="Courier New" w:hAnsi="Courier New"/>
                <w:sz w:val="18"/>
                <w:szCs w:val="18"/>
              </w:rPr>
              <w:t>x-ratelimit-limit: 1000</w:t>
            </w:r>
          </w:p>
          <w:p>
            <w:pPr>
              <w:pStyle w:val="Normal"/>
              <w:spacing w:before="0" w:after="20"/>
              <w:ind w:start="100"/>
              <w:rPr/>
            </w:pPr>
            <w:r>
              <w:rPr>
                <w:rFonts w:eastAsia="Courier New" w:cs="Courier New" w:ascii="Courier New" w:hAnsi="Courier New"/>
                <w:sz w:val="18"/>
                <w:szCs w:val="18"/>
              </w:rPr>
              <w:t xml:space="preserve">  </w:t>
            </w:r>
            <w:r>
              <w:rPr>
                <w:rFonts w:eastAsia="Courier New" w:cs="Courier New" w:ascii="Courier New" w:hAnsi="Courier New"/>
                <w:sz w:val="18"/>
                <w:szCs w:val="18"/>
              </w:rPr>
              <w:t>x-ratelimit-remaining: 999</w:t>
            </w:r>
          </w:p>
        </w:tc>
      </w:tr>
    </w:tbl>
    <w:p>
      <w:pPr>
        <w:pStyle w:val="Normal"/>
        <w:spacing w:before="0" w:after="0"/>
        <w:rPr/>
        <w:sectPr>
          <w:type w:val="nextPage"/>
          <w:pgSz w:w="11906" w:h="16838"/>
          <w:pgMar w:left="1440" w:right="1440" w:gutter="0" w:header="0" w:top="1440" w:footer="0" w:bottom="1440"/>
          <w:pgNumType w:fmt="decimal"/>
          <w:formProt w:val="false"/>
          <w:textDirection w:val="lrTb"/>
          <w:docGrid w:type="default" w:linePitch="360" w:charSpace="0"/>
        </w:sectPr>
      </w:pPr>
      <w:r>
        <w:rPr/>
      </w:r>
      <w:r>
        <w:br w:type="page"/>
      </w:r>
    </w:p>
    <w:p>
      <w:pPr>
        <w:pStyle w:val="Heading1"/>
        <w:spacing w:before="240" w:after="120"/>
        <w:rPr/>
      </w:pPr>
      <w:r>
        <w:rPr>
          <w:b/>
          <w:bCs/>
          <w:sz w:val="32"/>
          <w:szCs w:val="32"/>
        </w:rPr>
        <w:t>Finding 5: Missing Input Validation</w:t>
      </w:r>
    </w:p>
    <w:tbl>
      <w:tblPr>
        <w:tblW w:w="5000" w:type="pct"/>
        <w:jc w:val="start"/>
        <w:tblInd w:w="0" w:type="dxa"/>
        <w:tblLayout w:type="fixed"/>
        <w:tblCellMar>
          <w:top w:w="0" w:type="dxa"/>
          <w:start w:w="108" w:type="dxa"/>
          <w:bottom w:w="0" w:type="dxa"/>
          <w:end w:w="108" w:type="dxa"/>
        </w:tblCellMar>
      </w:tblPr>
      <w:tblGrid>
        <w:gridCol w:w="4512"/>
        <w:gridCol w:w="4514"/>
      </w:tblGrid>
      <w:tr>
        <w:trPr/>
        <w:tc>
          <w:tcPr>
            <w:tcW w:w="4512"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bCs/>
                <w:sz w:val="20"/>
                <w:szCs w:val="20"/>
              </w:rPr>
              <w:t>Severity</w:t>
            </w:r>
          </w:p>
        </w:tc>
        <w:tc>
          <w:tcPr>
            <w:tcW w:w="4514"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bCs/>
                <w:sz w:val="20"/>
                <w:szCs w:val="20"/>
              </w:rPr>
              <w:t>Medium</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OWASP</w:t>
            </w:r>
          </w:p>
        </w:tc>
        <w:tc>
          <w:tcPr>
            <w:tcW w:w="4514"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API9</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Endpoint</w:t>
            </w:r>
          </w:p>
        </w:tc>
        <w:tc>
          <w:tcPr>
            <w:tcW w:w="4514"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POST /posts</w:t>
            </w:r>
          </w:p>
        </w:tc>
      </w:tr>
    </w:tbl>
    <w:p>
      <w:pPr>
        <w:pStyle w:val="Heading2"/>
        <w:spacing w:before="240" w:after="120"/>
        <w:rPr/>
      </w:pPr>
      <w:r>
        <w:rPr>
          <w:b/>
          <w:bCs/>
          <w:sz w:val="28"/>
          <w:szCs w:val="28"/>
        </w:rPr>
        <w:t>Description</w:t>
      </w:r>
    </w:p>
    <w:p>
      <w:pPr>
        <w:pStyle w:val="Normal"/>
        <w:spacing w:before="0" w:after="120"/>
        <w:rPr/>
      </w:pPr>
      <w:r>
        <w:rPr>
          <w:sz w:val="24"/>
          <w:szCs w:val="24"/>
        </w:rPr>
        <w:t>The API accepts arbitrary JSON payloads without apparent validation. There is no schema enforcement, type checking, length validation, or content sanitization visible from responses.</w:t>
      </w:r>
    </w:p>
    <w:p>
      <w:pPr>
        <w:pStyle w:val="Heading2"/>
        <w:spacing w:before="240" w:after="120"/>
        <w:rPr/>
      </w:pPr>
      <w:r>
        <w:rPr>
          <w:b/>
          <w:bCs/>
          <w:sz w:val="28"/>
          <w:szCs w:val="28"/>
        </w:rPr>
        <w:t>Business Impact</w:t>
      </w:r>
    </w:p>
    <w:p>
      <w:pPr>
        <w:pStyle w:val="Normal"/>
        <w:spacing w:before="0" w:after="120"/>
        <w:rPr/>
      </w:pPr>
      <w:r>
        <w:rPr>
          <w:sz w:val="24"/>
          <w:szCs w:val="24"/>
        </w:rPr>
        <w:t>SQL/NoSQL injection vulnerabilities if database queries are dynamically constructed. Stored XSS if response data is rendered in web clients without sanitization. Data corruption from malformed payloads.</w:t>
      </w:r>
    </w:p>
    <w:p>
      <w:pPr>
        <w:pStyle w:val="Heading2"/>
        <w:spacing w:before="240" w:after="120"/>
        <w:rPr/>
      </w:pPr>
      <w:r>
        <w:rPr>
          <w:b/>
          <w:bCs/>
          <w:sz w:val="28"/>
          <w:szCs w:val="28"/>
        </w:rPr>
        <w:t>Remediation</w:t>
      </w:r>
    </w:p>
    <w:p>
      <w:pPr>
        <w:pStyle w:val="Normal"/>
        <w:spacing w:before="0" w:after="60"/>
        <w:rPr/>
      </w:pPr>
      <w:r>
        <w:rPr>
          <w:sz w:val="22"/>
          <w:szCs w:val="22"/>
        </w:rPr>
        <w:t>1. Define strict JSON Schema validators for all request bodies and enforce server-side</w:t>
      </w:r>
    </w:p>
    <w:p>
      <w:pPr>
        <w:pStyle w:val="Normal"/>
        <w:spacing w:before="0" w:after="60"/>
        <w:rPr/>
      </w:pPr>
      <w:r>
        <w:rPr>
          <w:sz w:val="22"/>
          <w:szCs w:val="22"/>
        </w:rPr>
        <w:t>2. Validate input types, string lengths, numeric ranges, and allowed enum values</w:t>
      </w:r>
    </w:p>
    <w:p>
      <w:pPr>
        <w:pStyle w:val="Normal"/>
        <w:spacing w:before="0" w:after="60"/>
        <w:rPr/>
      </w:pPr>
      <w:r>
        <w:rPr>
          <w:sz w:val="22"/>
          <w:szCs w:val="22"/>
        </w:rPr>
        <w:t>3. Sanitize all input before persistence — strip HTML, escape special characters</w:t>
      </w:r>
    </w:p>
    <w:p>
      <w:pPr>
        <w:pStyle w:val="Normal"/>
        <w:spacing w:before="0" w:after="60"/>
        <w:rPr/>
      </w:pPr>
      <w:r>
        <w:rPr>
          <w:sz w:val="22"/>
          <w:szCs w:val="22"/>
        </w:rPr>
        <w:t>4. Use parameterized queries or ORM abstraction layers to prevent injection</w:t>
      </w:r>
    </w:p>
    <w:p>
      <w:pPr>
        <w:pStyle w:val="Normal"/>
        <w:spacing w:before="0" w:after="60"/>
        <w:rPr/>
      </w:pPr>
      <w:r>
        <w:rPr>
          <w:sz w:val="22"/>
          <w:szCs w:val="22"/>
        </w:rPr>
        <w:t>5. Return descriptive validation error messages without leaking implementation details</w:t>
      </w:r>
    </w:p>
    <w:p>
      <w:pPr>
        <w:pStyle w:val="Heading2"/>
        <w:spacing w:before="240" w:after="120"/>
        <w:rPr/>
      </w:pPr>
      <w:r>
        <w:rPr>
          <w:b/>
          <w:bCs/>
          <w:sz w:val="28"/>
          <w:szCs w:val="28"/>
        </w:rPr>
        <w:t>Evidence</w:t>
      </w:r>
    </w:p>
    <w:tbl>
      <w:tblPr>
        <w:tblW w:w="5000" w:type="pct"/>
        <w:jc w:val="start"/>
        <w:tblInd w:w="0" w:type="dxa"/>
        <w:tblLayout w:type="fixed"/>
        <w:tblCellMar>
          <w:top w:w="0" w:type="dxa"/>
          <w:start w:w="108" w:type="dxa"/>
          <w:bottom w:w="0" w:type="dxa"/>
          <w:end w:w="108" w:type="dxa"/>
        </w:tblCellMar>
      </w:tblPr>
      <w:tblGrid>
        <w:gridCol w:w="9026"/>
      </w:tblGrid>
      <w:tr>
        <w:trPr/>
        <w:tc>
          <w:tcPr>
            <w:tcW w:w="9026" w:type="dxa"/>
            <w:tcBorders>
              <w:top w:val="single" w:sz="2" w:space="0" w:color="000000"/>
              <w:start w:val="single" w:sz="2" w:space="0" w:color="000000"/>
              <w:bottom w:val="single" w:sz="2" w:space="0" w:color="000000"/>
              <w:end w:val="single" w:sz="2" w:space="0" w:color="000000"/>
            </w:tcBorders>
          </w:tcPr>
          <w:p>
            <w:pPr>
              <w:pStyle w:val="Normal"/>
              <w:spacing w:before="0" w:after="20"/>
              <w:ind w:start="100"/>
              <w:rPr/>
            </w:pPr>
            <w:r>
              <w:rPr>
                <w:rFonts w:eastAsia="Courier New" w:cs="Courier New" w:ascii="Courier New" w:hAnsi="Courier New"/>
                <w:sz w:val="18"/>
                <w:szCs w:val="18"/>
              </w:rPr>
              <w:t>curl -X POST https://jsonplaceholder.typicode.com/posts \</w:t>
            </w:r>
          </w:p>
          <w:p>
            <w:pPr>
              <w:pStyle w:val="Normal"/>
              <w:spacing w:before="0" w:after="20"/>
              <w:ind w:start="100"/>
              <w:rPr/>
            </w:pPr>
            <w:r>
              <w:rPr>
                <w:rFonts w:eastAsia="Courier New" w:cs="Courier New" w:ascii="Courier New" w:hAnsi="Courier New"/>
                <w:sz w:val="18"/>
                <w:szCs w:val="18"/>
              </w:rPr>
              <w:t xml:space="preserve">  </w:t>
            </w:r>
            <w:r>
              <w:rPr>
                <w:rFonts w:eastAsia="Courier New" w:cs="Courier New" w:ascii="Courier New" w:hAnsi="Courier New"/>
                <w:sz w:val="18"/>
                <w:szCs w:val="18"/>
              </w:rPr>
              <w:t>-H "Content-Type: application/json" \</w:t>
            </w:r>
          </w:p>
          <w:p>
            <w:pPr>
              <w:pStyle w:val="Normal"/>
              <w:spacing w:before="0" w:after="20"/>
              <w:ind w:start="100"/>
              <w:rPr/>
            </w:pPr>
            <w:r>
              <w:rPr>
                <w:rFonts w:eastAsia="Courier New" w:cs="Courier New" w:ascii="Courier New" w:hAnsi="Courier New"/>
                <w:sz w:val="18"/>
                <w:szCs w:val="18"/>
              </w:rPr>
              <w:t xml:space="preserve">  </w:t>
            </w:r>
            <w:r>
              <w:rPr>
                <w:rFonts w:eastAsia="Courier New" w:cs="Courier New" w:ascii="Courier New" w:hAnsi="Courier New"/>
                <w:sz w:val="18"/>
                <w:szCs w:val="18"/>
              </w:rPr>
              <w:t>-d '{"title":"foo","body":"bar","userId":1}'</w:t>
            </w:r>
          </w:p>
          <w:p>
            <w:pPr>
              <w:pStyle w:val="Normal"/>
              <w:spacing w:before="0" w:after="20"/>
              <w:ind w:start="100"/>
              <w:rPr/>
            </w:pPr>
            <w:r>
              <w:rPr/>
            </w:r>
          </w:p>
          <w:p>
            <w:pPr>
              <w:pStyle w:val="Normal"/>
              <w:spacing w:before="0" w:after="20"/>
              <w:ind w:start="100"/>
              <w:rPr/>
            </w:pPr>
            <w:r>
              <w:rPr>
                <w:rFonts w:eastAsia="Courier New" w:cs="Courier New" w:ascii="Courier New" w:hAnsi="Courier New"/>
                <w:sz w:val="18"/>
                <w:szCs w:val="18"/>
              </w:rPr>
              <w:t>Response: 201 Created — accepted without validation</w:t>
            </w:r>
          </w:p>
        </w:tc>
      </w:tr>
    </w:tbl>
    <w:p>
      <w:pPr>
        <w:pStyle w:val="Normal"/>
        <w:spacing w:before="0" w:after="0"/>
        <w:rPr/>
        <w:sectPr>
          <w:type w:val="nextPage"/>
          <w:pgSz w:w="11906" w:h="16838"/>
          <w:pgMar w:left="1440" w:right="1440" w:gutter="0" w:header="0" w:top="1440" w:footer="0" w:bottom="1440"/>
          <w:pgNumType w:fmt="decimal"/>
          <w:formProt w:val="false"/>
          <w:textDirection w:val="lrTb"/>
          <w:docGrid w:type="default" w:linePitch="360" w:charSpace="0"/>
        </w:sectPr>
      </w:pPr>
      <w:r>
        <w:rPr/>
      </w:r>
      <w:r>
        <w:br w:type="page"/>
      </w:r>
    </w:p>
    <w:p>
      <w:pPr>
        <w:pStyle w:val="Heading1"/>
        <w:spacing w:before="240" w:after="120"/>
        <w:rPr/>
      </w:pPr>
      <w:r>
        <w:rPr>
          <w:b/>
          <w:bCs/>
          <w:sz w:val="32"/>
          <w:szCs w:val="32"/>
        </w:rPr>
        <w:t>Finding 6: Sensitive Data in URL Parameters</w:t>
      </w:r>
    </w:p>
    <w:tbl>
      <w:tblPr>
        <w:tblW w:w="5000" w:type="pct"/>
        <w:jc w:val="start"/>
        <w:tblInd w:w="0" w:type="dxa"/>
        <w:tblLayout w:type="fixed"/>
        <w:tblCellMar>
          <w:top w:w="0" w:type="dxa"/>
          <w:start w:w="108" w:type="dxa"/>
          <w:bottom w:w="0" w:type="dxa"/>
          <w:end w:w="108" w:type="dxa"/>
        </w:tblCellMar>
      </w:tblPr>
      <w:tblGrid>
        <w:gridCol w:w="4512"/>
        <w:gridCol w:w="4514"/>
      </w:tblGrid>
      <w:tr>
        <w:trPr/>
        <w:tc>
          <w:tcPr>
            <w:tcW w:w="4512"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bCs/>
                <w:sz w:val="20"/>
                <w:szCs w:val="20"/>
              </w:rPr>
              <w:t>Severity</w:t>
            </w:r>
          </w:p>
        </w:tc>
        <w:tc>
          <w:tcPr>
            <w:tcW w:w="4514"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bCs/>
                <w:sz w:val="20"/>
                <w:szCs w:val="20"/>
              </w:rPr>
              <w:t>Low</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OWASP</w:t>
            </w:r>
          </w:p>
        </w:tc>
        <w:tc>
          <w:tcPr>
            <w:tcW w:w="4514"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API3</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Endpoint</w:t>
            </w:r>
          </w:p>
        </w:tc>
        <w:tc>
          <w:tcPr>
            <w:tcW w:w="4514"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GET /todos?userId={id}</w:t>
            </w:r>
          </w:p>
        </w:tc>
      </w:tr>
    </w:tbl>
    <w:p>
      <w:pPr>
        <w:pStyle w:val="Heading2"/>
        <w:spacing w:before="240" w:after="120"/>
        <w:rPr/>
      </w:pPr>
      <w:r>
        <w:rPr>
          <w:b/>
          <w:bCs/>
          <w:sz w:val="28"/>
          <w:szCs w:val="28"/>
        </w:rPr>
        <w:t>Description</w:t>
      </w:r>
    </w:p>
    <w:p>
      <w:pPr>
        <w:pStyle w:val="Normal"/>
        <w:spacing w:before="0" w:after="120"/>
        <w:rPr/>
      </w:pPr>
      <w:r>
        <w:rPr>
          <w:sz w:val="24"/>
          <w:szCs w:val="24"/>
        </w:rPr>
        <w:t>User identifiers are passed as query string parameters, which are logged in plaintext by CDNs, reverse proxies, load balancers, and analytics tools. Sequential integer IDs also enable trivial user enumeration.</w:t>
      </w:r>
    </w:p>
    <w:p>
      <w:pPr>
        <w:pStyle w:val="Heading2"/>
        <w:spacing w:before="240" w:after="120"/>
        <w:rPr/>
      </w:pPr>
      <w:r>
        <w:rPr>
          <w:b/>
          <w:bCs/>
          <w:sz w:val="28"/>
          <w:szCs w:val="28"/>
        </w:rPr>
        <w:t>Business Impact</w:t>
      </w:r>
    </w:p>
    <w:p>
      <w:pPr>
        <w:pStyle w:val="Normal"/>
        <w:spacing w:before="0" w:after="120"/>
        <w:rPr/>
      </w:pPr>
      <w:r>
        <w:rPr>
          <w:sz w:val="24"/>
          <w:szCs w:val="24"/>
        </w:rPr>
        <w:t>User IDs and filtering criteria logged in server access logs and CDN logs. Analytics tools may inadvertently collect behavioral data tied to user identifiers. Easier reconnaissance for attackers mapping user base.</w:t>
      </w:r>
    </w:p>
    <w:p>
      <w:pPr>
        <w:pStyle w:val="Heading2"/>
        <w:spacing w:before="240" w:after="120"/>
        <w:rPr/>
      </w:pPr>
      <w:r>
        <w:rPr>
          <w:b/>
          <w:bCs/>
          <w:sz w:val="28"/>
          <w:szCs w:val="28"/>
        </w:rPr>
        <w:t>Remediation</w:t>
      </w:r>
    </w:p>
    <w:p>
      <w:pPr>
        <w:pStyle w:val="Normal"/>
        <w:spacing w:before="0" w:after="60"/>
        <w:rPr/>
      </w:pPr>
      <w:r>
        <w:rPr>
          <w:sz w:val="22"/>
          <w:szCs w:val="22"/>
        </w:rPr>
        <w:t>1. Use POST with body parameters for sensitive filter criteria</w:t>
      </w:r>
    </w:p>
    <w:p>
      <w:pPr>
        <w:pStyle w:val="Normal"/>
        <w:spacing w:before="0" w:after="60"/>
        <w:rPr/>
      </w:pPr>
      <w:r>
        <w:rPr>
          <w:sz w:val="22"/>
          <w:szCs w:val="22"/>
        </w:rPr>
        <w:t>2. Consider adopting non-sequential identifiers (UUID v4) for user-facing resources</w:t>
      </w:r>
    </w:p>
    <w:p>
      <w:pPr>
        <w:pStyle w:val="Normal"/>
        <w:spacing w:before="0" w:after="60"/>
        <w:rPr/>
      </w:pPr>
      <w:r>
        <w:rPr>
          <w:sz w:val="22"/>
          <w:szCs w:val="22"/>
        </w:rPr>
        <w:t>3. Implement access log sanitization to redact query parameters containing identifiers</w:t>
      </w:r>
    </w:p>
    <w:p>
      <w:pPr>
        <w:pStyle w:val="Normal"/>
        <w:spacing w:before="0" w:after="60"/>
        <w:rPr/>
      </w:pPr>
      <w:r>
        <w:rPr>
          <w:sz w:val="22"/>
          <w:szCs w:val="22"/>
        </w:rPr>
        <w:t>4. Use HTTP/2 or encrypt query strings where supported</w:t>
      </w:r>
    </w:p>
    <w:p>
      <w:pPr>
        <w:pStyle w:val="Heading2"/>
        <w:spacing w:before="240" w:after="120"/>
        <w:rPr/>
      </w:pPr>
      <w:r>
        <w:rPr>
          <w:b/>
          <w:bCs/>
          <w:sz w:val="28"/>
          <w:szCs w:val="28"/>
        </w:rPr>
        <w:t>Evidence</w:t>
      </w:r>
    </w:p>
    <w:tbl>
      <w:tblPr>
        <w:tblW w:w="5000" w:type="pct"/>
        <w:jc w:val="start"/>
        <w:tblInd w:w="0" w:type="dxa"/>
        <w:tblLayout w:type="fixed"/>
        <w:tblCellMar>
          <w:top w:w="0" w:type="dxa"/>
          <w:start w:w="108" w:type="dxa"/>
          <w:bottom w:w="0" w:type="dxa"/>
          <w:end w:w="108" w:type="dxa"/>
        </w:tblCellMar>
      </w:tblPr>
      <w:tblGrid>
        <w:gridCol w:w="9026"/>
      </w:tblGrid>
      <w:tr>
        <w:trPr/>
        <w:tc>
          <w:tcPr>
            <w:tcW w:w="9026" w:type="dxa"/>
            <w:tcBorders>
              <w:top w:val="single" w:sz="2" w:space="0" w:color="000000"/>
              <w:start w:val="single" w:sz="2" w:space="0" w:color="000000"/>
              <w:bottom w:val="single" w:sz="2" w:space="0" w:color="000000"/>
              <w:end w:val="single" w:sz="2" w:space="0" w:color="000000"/>
            </w:tcBorders>
          </w:tcPr>
          <w:p>
            <w:pPr>
              <w:pStyle w:val="Normal"/>
              <w:spacing w:before="0" w:after="20"/>
              <w:ind w:start="100"/>
              <w:rPr/>
            </w:pPr>
            <w:r>
              <w:rPr>
                <w:rFonts w:eastAsia="Courier New" w:cs="Courier New" w:ascii="Courier New" w:hAnsi="Courier New"/>
                <w:sz w:val="18"/>
                <w:szCs w:val="18"/>
              </w:rPr>
              <w:t>curl -s "https://jsonplaceholder.typicode.com/todos?userId=1"</w:t>
            </w:r>
          </w:p>
          <w:p>
            <w:pPr>
              <w:pStyle w:val="Normal"/>
              <w:spacing w:before="0" w:after="20"/>
              <w:ind w:start="100"/>
              <w:rPr/>
            </w:pPr>
            <w:r>
              <w:rPr/>
            </w:r>
          </w:p>
          <w:p>
            <w:pPr>
              <w:pStyle w:val="Normal"/>
              <w:spacing w:before="0" w:after="20"/>
              <w:ind w:start="100"/>
              <w:rPr/>
            </w:pPr>
            <w:r>
              <w:rPr>
                <w:rFonts w:eastAsia="Courier New" w:cs="Courier New" w:ascii="Courier New" w:hAnsi="Courier New"/>
                <w:sz w:val="18"/>
                <w:szCs w:val="18"/>
              </w:rPr>
              <w:t>userId=1 visible in URL — logged by every intermediary</w:t>
            </w:r>
          </w:p>
        </w:tc>
      </w:tr>
    </w:tbl>
    <w:p>
      <w:pPr>
        <w:pStyle w:val="Normal"/>
        <w:spacing w:before="0" w:after="0"/>
        <w:rPr/>
        <w:sectPr>
          <w:type w:val="nextPage"/>
          <w:pgSz w:w="11906" w:h="16838"/>
          <w:pgMar w:left="1440" w:right="1440" w:gutter="0" w:header="0" w:top="1440" w:footer="0" w:bottom="1440"/>
          <w:pgNumType w:fmt="decimal"/>
          <w:formProt w:val="false"/>
          <w:textDirection w:val="lrTb"/>
          <w:docGrid w:type="default" w:linePitch="360" w:charSpace="0"/>
        </w:sectPr>
      </w:pPr>
      <w:r>
        <w:rPr/>
      </w:r>
      <w:r>
        <w:br w:type="page"/>
      </w:r>
    </w:p>
    <w:p>
      <w:pPr>
        <w:pStyle w:val="Heading1"/>
        <w:spacing w:before="240" w:after="120"/>
        <w:rPr/>
      </w:pPr>
      <w:r>
        <w:rPr>
          <w:b/>
          <w:bCs/>
          <w:sz w:val="32"/>
          <w:szCs w:val="32"/>
        </w:rPr>
        <w:t>Finding 7: Permissive CORS Configuration</w:t>
      </w:r>
    </w:p>
    <w:tbl>
      <w:tblPr>
        <w:tblW w:w="5000" w:type="pct"/>
        <w:jc w:val="start"/>
        <w:tblInd w:w="0" w:type="dxa"/>
        <w:tblLayout w:type="fixed"/>
        <w:tblCellMar>
          <w:top w:w="0" w:type="dxa"/>
          <w:start w:w="108" w:type="dxa"/>
          <w:bottom w:w="0" w:type="dxa"/>
          <w:end w:w="108" w:type="dxa"/>
        </w:tblCellMar>
      </w:tblPr>
      <w:tblGrid>
        <w:gridCol w:w="4512"/>
        <w:gridCol w:w="4514"/>
      </w:tblGrid>
      <w:tr>
        <w:trPr/>
        <w:tc>
          <w:tcPr>
            <w:tcW w:w="4512"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bCs/>
                <w:sz w:val="20"/>
                <w:szCs w:val="20"/>
              </w:rPr>
              <w:t>Severity</w:t>
            </w:r>
          </w:p>
        </w:tc>
        <w:tc>
          <w:tcPr>
            <w:tcW w:w="4514"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bCs/>
                <w:sz w:val="20"/>
                <w:szCs w:val="20"/>
              </w:rPr>
              <w:t>Low</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OWASP</w:t>
            </w:r>
          </w:p>
        </w:tc>
        <w:tc>
          <w:tcPr>
            <w:tcW w:w="4514"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API7</w:t>
            </w:r>
          </w:p>
        </w:tc>
      </w:tr>
      <w:tr>
        <w:trPr/>
        <w:tc>
          <w:tcPr>
            <w:tcW w:w="4512"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Endpoint</w:t>
            </w:r>
          </w:p>
        </w:tc>
        <w:tc>
          <w:tcPr>
            <w:tcW w:w="4514" w:type="dxa"/>
            <w:tcBorders>
              <w:top w:val="single" w:sz="2" w:space="0" w:color="000000"/>
              <w:start w:val="single" w:sz="2" w:space="0" w:color="000000"/>
              <w:bottom w:val="single" w:sz="2" w:space="0" w:color="000000"/>
              <w:end w:val="single" w:sz="2" w:space="0" w:color="000000"/>
            </w:tcBorders>
          </w:tcPr>
          <w:p>
            <w:pPr>
              <w:pStyle w:val="Normal"/>
              <w:spacing w:before="0" w:after="40"/>
              <w:rPr/>
            </w:pPr>
            <w:r>
              <w:rPr>
                <w:b w:val="false"/>
                <w:bCs w:val="false"/>
                <w:sz w:val="20"/>
                <w:szCs w:val="20"/>
              </w:rPr>
              <w:t>All endpoints</w:t>
            </w:r>
          </w:p>
        </w:tc>
      </w:tr>
    </w:tbl>
    <w:p>
      <w:pPr>
        <w:pStyle w:val="Heading2"/>
        <w:spacing w:before="240" w:after="120"/>
        <w:rPr/>
      </w:pPr>
      <w:r>
        <w:rPr>
          <w:b/>
          <w:bCs/>
          <w:sz w:val="28"/>
          <w:szCs w:val="28"/>
        </w:rPr>
        <w:t>Description</w:t>
      </w:r>
    </w:p>
    <w:p>
      <w:pPr>
        <w:pStyle w:val="Normal"/>
        <w:spacing w:before="0" w:after="120"/>
        <w:rPr/>
      </w:pPr>
      <w:r>
        <w:rPr>
          <w:sz w:val="24"/>
          <w:szCs w:val="24"/>
        </w:rPr>
        <w:t>The API includes access-control-allow-credentials: true and broad CORS headers, allowing any website to make credentialed requests.</w:t>
      </w:r>
    </w:p>
    <w:p>
      <w:pPr>
        <w:pStyle w:val="Heading2"/>
        <w:spacing w:before="240" w:after="120"/>
        <w:rPr/>
      </w:pPr>
      <w:r>
        <w:rPr>
          <w:b/>
          <w:bCs/>
          <w:sz w:val="28"/>
          <w:szCs w:val="28"/>
        </w:rPr>
        <w:t>Business Impact</w:t>
      </w:r>
    </w:p>
    <w:p>
      <w:pPr>
        <w:pStyle w:val="Normal"/>
        <w:spacing w:before="0" w:after="120"/>
        <w:rPr/>
      </w:pPr>
      <w:r>
        <w:rPr>
          <w:sz w:val="24"/>
          <w:szCs w:val="24"/>
        </w:rPr>
        <w:t>Any malicious website can make credentialed API requests on behalf of users if cookies or browser-stored credentials are used. Cross-Site Request Forgery (CSRF) attacks become feasible.</w:t>
      </w:r>
    </w:p>
    <w:p>
      <w:pPr>
        <w:pStyle w:val="Heading2"/>
        <w:spacing w:before="240" w:after="120"/>
        <w:rPr/>
      </w:pPr>
      <w:r>
        <w:rPr>
          <w:b/>
          <w:bCs/>
          <w:sz w:val="28"/>
          <w:szCs w:val="28"/>
        </w:rPr>
        <w:t>Remediation</w:t>
      </w:r>
    </w:p>
    <w:p>
      <w:pPr>
        <w:pStyle w:val="Normal"/>
        <w:spacing w:before="0" w:after="60"/>
        <w:rPr/>
      </w:pPr>
      <w:r>
        <w:rPr>
          <w:sz w:val="22"/>
          <w:szCs w:val="22"/>
        </w:rPr>
        <w:t>1. Restrict Access-Control-Allow-Origin to a specific allowlist of trusted domains</w:t>
      </w:r>
    </w:p>
    <w:p>
      <w:pPr>
        <w:pStyle w:val="Normal"/>
        <w:spacing w:before="0" w:after="60"/>
        <w:rPr/>
      </w:pPr>
      <w:r>
        <w:rPr>
          <w:sz w:val="22"/>
          <w:szCs w:val="22"/>
        </w:rPr>
        <w:t>2. Disable Access-Control-Allow-Credentials unless the specific endpoint requires it</w:t>
      </w:r>
    </w:p>
    <w:p>
      <w:pPr>
        <w:pStyle w:val="Normal"/>
        <w:spacing w:before="0" w:after="60"/>
        <w:rPr/>
      </w:pPr>
      <w:r>
        <w:rPr>
          <w:sz w:val="22"/>
          <w:szCs w:val="22"/>
        </w:rPr>
        <w:t>3. Implement CSRF tokens for all state-changing operations</w:t>
      </w:r>
    </w:p>
    <w:p>
      <w:pPr>
        <w:pStyle w:val="Normal"/>
        <w:spacing w:before="0" w:after="60"/>
        <w:rPr/>
      </w:pPr>
      <w:r>
        <w:rPr>
          <w:sz w:val="22"/>
          <w:szCs w:val="22"/>
        </w:rPr>
        <w:t>4. Use SameSite=Strict or SameSite=Lax cookie attributes</w:t>
      </w:r>
    </w:p>
    <w:p>
      <w:pPr>
        <w:pStyle w:val="Heading2"/>
        <w:spacing w:before="240" w:after="120"/>
        <w:rPr/>
      </w:pPr>
      <w:r>
        <w:rPr>
          <w:b/>
          <w:bCs/>
          <w:sz w:val="28"/>
          <w:szCs w:val="28"/>
        </w:rPr>
        <w:t>Evidence</w:t>
      </w:r>
    </w:p>
    <w:tbl>
      <w:tblPr>
        <w:tblW w:w="5000" w:type="pct"/>
        <w:jc w:val="start"/>
        <w:tblInd w:w="0" w:type="dxa"/>
        <w:tblLayout w:type="fixed"/>
        <w:tblCellMar>
          <w:top w:w="0" w:type="dxa"/>
          <w:start w:w="108" w:type="dxa"/>
          <w:bottom w:w="0" w:type="dxa"/>
          <w:end w:w="108" w:type="dxa"/>
        </w:tblCellMar>
      </w:tblPr>
      <w:tblGrid>
        <w:gridCol w:w="9026"/>
      </w:tblGrid>
      <w:tr>
        <w:trPr/>
        <w:tc>
          <w:tcPr>
            <w:tcW w:w="9026" w:type="dxa"/>
            <w:tcBorders>
              <w:top w:val="single" w:sz="2" w:space="0" w:color="000000"/>
              <w:start w:val="single" w:sz="2" w:space="0" w:color="000000"/>
              <w:bottom w:val="single" w:sz="2" w:space="0" w:color="000000"/>
              <w:end w:val="single" w:sz="2" w:space="0" w:color="000000"/>
            </w:tcBorders>
          </w:tcPr>
          <w:p>
            <w:pPr>
              <w:pStyle w:val="Normal"/>
              <w:spacing w:before="0" w:after="20"/>
              <w:ind w:start="100"/>
              <w:rPr/>
            </w:pPr>
            <w:r>
              <w:rPr>
                <w:rFonts w:eastAsia="Courier New" w:cs="Courier New" w:ascii="Courier New" w:hAnsi="Courier New"/>
                <w:sz w:val="18"/>
                <w:szCs w:val="18"/>
              </w:rPr>
              <w:t>Response header:</w:t>
            </w:r>
          </w:p>
          <w:p>
            <w:pPr>
              <w:pStyle w:val="Normal"/>
              <w:spacing w:before="0" w:after="20"/>
              <w:ind w:start="100"/>
              <w:rPr/>
            </w:pPr>
            <w:r>
              <w:rPr>
                <w:rFonts w:eastAsia="Courier New" w:cs="Courier New" w:ascii="Courier New" w:hAnsi="Courier New"/>
                <w:sz w:val="18"/>
                <w:szCs w:val="18"/>
              </w:rPr>
              <w:t xml:space="preserve">  </w:t>
            </w:r>
            <w:r>
              <w:rPr>
                <w:rFonts w:eastAsia="Courier New" w:cs="Courier New" w:ascii="Courier New" w:hAnsi="Courier New"/>
                <w:sz w:val="18"/>
                <w:szCs w:val="18"/>
              </w:rPr>
              <w:t>access-control-allow-credentials: true</w:t>
            </w:r>
          </w:p>
          <w:p>
            <w:pPr>
              <w:pStyle w:val="Normal"/>
              <w:spacing w:before="0" w:after="20"/>
              <w:ind w:start="100"/>
              <w:rPr/>
            </w:pPr>
            <w:r>
              <w:rPr/>
            </w:r>
          </w:p>
          <w:p>
            <w:pPr>
              <w:pStyle w:val="Normal"/>
              <w:spacing w:before="0" w:after="20"/>
              <w:ind w:start="100"/>
              <w:rPr/>
            </w:pPr>
            <w:r>
              <w:rPr>
                <w:rFonts w:eastAsia="Courier New" w:cs="Courier New" w:ascii="Courier New" w:hAnsi="Courier New"/>
                <w:sz w:val="18"/>
                <w:szCs w:val="18"/>
              </w:rPr>
              <w:t>Any origin can make credentialed requests — no origin validation</w:t>
            </w:r>
          </w:p>
        </w:tc>
      </w:tr>
    </w:tbl>
    <w:p>
      <w:pPr>
        <w:pStyle w:val="Normal"/>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s>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LibreOffice/26.2.4.2$Linux_X86_64 LibreOffice_project/620$Build-2</Application>
  <AppVersion>15.0000</AppVersion>
  <Pages>9</Pages>
  <Words>1236</Words>
  <Characters>7932</Characters>
  <CharactersWithSpaces>8989</CharactersWithSpaces>
  <Paragraphs>211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2026-06-18T12:57:15Z</dcterms:created>
  <dc:creator>Un-named</dc:creator>
  <dc:description/>
  <dc:language>en-US</dc:language>
  <cp:lastModifiedBy/>
  <dcterms:modified xsi:type="dcterms:W3CDTF">2026-06-18T16:00:39Z</dcterms:modified>
  <cp:revision>2</cp:revision>
  <dc:subject/>
  <dc:title/>
</cp:coreProperties>
</file>