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I. Univariate Statistics on Study 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22"/>
        <w:gridCol w:w="233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1,156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Mean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 (12.4)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 (45%)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(55%)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Race/Ethnicity,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 (66%)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 (25%)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Marital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680 (59%)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Divorced/Separated/Widowed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(19%)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 attainment,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college/associate's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 (30%)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degree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 (47%)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Annual household income,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62,226.1 (60,299.4)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chronic Conditions,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(2.8)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cancer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 (52%)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(48%)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Self-efficacy for cancer prevention,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 (1.3)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 (58%)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 (28%)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(14%)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consumption,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 (32%)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&lt;1 day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(27%)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 (18%)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3+ days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(23%)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 (7.1)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(1.5)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GrimAge2,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 (10.8)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DunedinPACE, Mean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2026-06-18T14:57:27Z</dcterms:modified>
  <cp:category/>
</cp:coreProperties>
</file>