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I. Univariate Statistics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331"/>
      </w:tblGrid>
      <w:tr>
        <w:trPr>
          <w:trHeight w:val="60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(45%)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Race/Ethnicity,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 (66%)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(25%)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(3.5%)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(5.7%)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(59%)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(22%)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(30%)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 (60,299.4)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(2.8)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(52%)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(58%)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(14%)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(32%)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(27%)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(18%)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(23%)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</w:tr>
      <w:tr>
        <w:trPr>
          <w:trHeight w:val="617" w:hRule="auto"/>
        </w:trPr>
        body43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2026-06-18T13:54:43Z</dcterms:modified>
  <cp:category/>
</cp:coreProperties>
</file>