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4: Overall models with standardized beta coefficients (and 95% confidence intervals) from a series of linear regression models quantifying the association between perceived cancer risk and epigenetic aging among MIDUS II sample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[0.04, 0.11]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0.09]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0.05]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0.05]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[0.04, 0.16]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0.08]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[-0.17, 0.19]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[-0.19,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[-0.20,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[-0.20,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[-0.17, 0.13]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[-0.17, 0.13]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[-0.11, 0.07]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[-0.11, 0.07]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[-0.03, 0.10]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[-0.06, 0.06]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[-0.06, 0.06]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[0.08, 0.32]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[0.08, 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[0.07, 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[-0.00, 0.20]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[-0.00, 0.20]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[-0.33, 0.35]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[-0.38, 0.28]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0.23]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[-0.30, 0.13]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[-0.33, 0.05]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[-0.33, 0.05]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0.001.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2026-06-29T11:58:41Z</dcterms:modified>
  <cp:category/>
</cp:coreProperties>
</file>